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AF" w:rsidRDefault="009931AF" w:rsidP="009931AF">
      <w:pPr>
        <w:jc w:val="both"/>
        <w:rPr>
          <w:sz w:val="28"/>
          <w:szCs w:val="28"/>
        </w:rPr>
      </w:pPr>
      <w:bookmarkStart w:id="0" w:name="_GoBack"/>
      <w:bookmarkEnd w:id="0"/>
    </w:p>
    <w:p w:rsidR="009931AF" w:rsidRDefault="009931AF" w:rsidP="009931AF">
      <w:pPr>
        <w:jc w:val="both"/>
        <w:rPr>
          <w:sz w:val="18"/>
          <w:szCs w:val="18"/>
        </w:rPr>
      </w:pPr>
    </w:p>
    <w:p w:rsidR="009931AF" w:rsidRDefault="009931AF" w:rsidP="009931AF">
      <w:pPr>
        <w:jc w:val="both"/>
        <w:rPr>
          <w:sz w:val="18"/>
          <w:szCs w:val="18"/>
        </w:rPr>
      </w:pP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анализ </w:t>
      </w: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>в Московской области за 2 месяца 2019 года</w:t>
      </w:r>
    </w:p>
    <w:p w:rsidR="009931AF" w:rsidRPr="001A43E6" w:rsidRDefault="009931AF" w:rsidP="009931AF">
      <w:pPr>
        <w:pStyle w:val="11"/>
        <w:rPr>
          <w:i/>
          <w:sz w:val="28"/>
          <w:szCs w:val="28"/>
        </w:rPr>
      </w:pPr>
    </w:p>
    <w:p w:rsidR="009931AF" w:rsidRPr="005A7C8F" w:rsidRDefault="009931AF" w:rsidP="009931AF">
      <w:pPr>
        <w:pStyle w:val="ab"/>
        <w:spacing w:line="360" w:lineRule="auto"/>
        <w:ind w:firstLine="851"/>
        <w:rPr>
          <w:sz w:val="8"/>
          <w:szCs w:val="8"/>
        </w:rPr>
      </w:pPr>
    </w:p>
    <w:p w:rsidR="009931AF" w:rsidRPr="005A7C8F" w:rsidRDefault="009931AF" w:rsidP="009931AF">
      <w:pPr>
        <w:pStyle w:val="ab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 месяца 2019 года на дорогах Московской области зарегистрировано              43 дорожно-транспортных происшествия с участием детей и подростков в возрасте      до 16 лет (АППГ – 57, -24,6%), в результате которых 3 юных участника дорожного движения погибли (АППГ – 4, -25%) и 43 получили травмы различной степени тяжести (АППГ – 60, -28,3%).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9931AF" w:rsidTr="001C76BA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+/-</w:t>
            </w:r>
          </w:p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9931AF" w:rsidTr="001C76BA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9931AF" w:rsidRDefault="009931AF" w:rsidP="001C76BA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</w:tr>
      <w:tr w:rsidR="009931AF" w:rsidTr="001C76BA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6,3%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C34135" w:rsidRDefault="009931AF" w:rsidP="001C76BA">
            <w:pPr>
              <w:spacing w:before="40" w:after="4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C34135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931AF" w:rsidRPr="005A7C8F" w:rsidRDefault="009931AF" w:rsidP="009931AF">
      <w:pPr>
        <w:spacing w:line="360" w:lineRule="auto"/>
        <w:ind w:firstLine="708"/>
        <w:jc w:val="both"/>
        <w:rPr>
          <w:sz w:val="8"/>
          <w:szCs w:val="8"/>
        </w:rPr>
      </w:pP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Всего за 2 месяца 2019 года на территории Московской области произошло 616 учетных ДТП, в которых 83 человека погибли и 734 получили ранения.</w:t>
      </w:r>
    </w:p>
    <w:p w:rsidR="009931AF" w:rsidRPr="009931AF" w:rsidRDefault="009931AF" w:rsidP="009931AF">
      <w:pPr>
        <w:spacing w:line="276" w:lineRule="auto"/>
        <w:ind w:firstLine="709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Дорожные аварии, в результате которых погибли и пострадали дети, составили 7% от общего количества учетных ДТП, погибшие 3,6%,    травмированные 5,9%.</w:t>
      </w: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28 дорожных аварий (АППГ – 36, -22,2%) произошли на территории обслуживания районных отделов Госавтоинспекции (65% от общего количества ДТП), 15 происшествий (АППГ – 21, -28,6%) зарегистрировано в зоне ответственности строевых подразделений (35% от общего количества ДТП).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9931AF"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9931AF" w:rsidRPr="009931AF" w:rsidRDefault="009931AF" w:rsidP="000353DC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Королев (2019г. – 3 ДТП, 3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Балашиха (2019г. – 2 ДТП, 2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Жуковский (2019г. – 2 ДТП, 2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 xml:space="preserve">- ОГИБДД г.о. Истра (2019г. – 2 ДТП, 2 пострадавших; 2018г. – 1 ДТП,         </w:t>
      </w:r>
      <w:r>
        <w:rPr>
          <w:sz w:val="28"/>
          <w:szCs w:val="28"/>
        </w:rPr>
        <w:t xml:space="preserve">          </w:t>
      </w:r>
      <w:r w:rsidRPr="009931AF">
        <w:rPr>
          <w:sz w:val="28"/>
          <w:szCs w:val="28"/>
        </w:rPr>
        <w:t xml:space="preserve"> 1 погибший;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 xml:space="preserve">- ОГИБДД г.о. Луховицы (2019г. – 1 ДТП, 1 пострадавший; 2018г. – 0 ДТП,          </w:t>
      </w:r>
      <w:r w:rsidRPr="009931AF">
        <w:rPr>
          <w:sz w:val="28"/>
          <w:szCs w:val="28"/>
        </w:rPr>
        <w:lastRenderedPageBreak/>
        <w:t>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Протвино (2019г. – 1 ДТП, 1 пострадавший; 2018г. – 0 ДТП,         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Химки (2019г. – 1 ДТП, 1 пострадавший; 2018г. – 0 ДТП,         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9931AF">
        <w:rPr>
          <w:bCs/>
          <w:sz w:val="28"/>
          <w:szCs w:val="28"/>
        </w:rPr>
        <w:t xml:space="preserve">- 1 батальон ДПС (2019г. – 2 ДТП, 2 пострадавших; 2018г. – 1 ДТП,               </w:t>
      </w:r>
      <w:r>
        <w:rPr>
          <w:bCs/>
          <w:sz w:val="28"/>
          <w:szCs w:val="28"/>
        </w:rPr>
        <w:t xml:space="preserve">      </w:t>
      </w:r>
      <w:r w:rsidRPr="009931AF">
        <w:rPr>
          <w:bCs/>
          <w:sz w:val="28"/>
          <w:szCs w:val="28"/>
        </w:rPr>
        <w:t xml:space="preserve">  1 погибший;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9931AF">
        <w:rPr>
          <w:bCs/>
          <w:sz w:val="28"/>
          <w:szCs w:val="28"/>
        </w:rPr>
        <w:t>- 14 батальон ДПС (2019г. –1 ДТП, 1 погибший; 2018г. – 0, +100%);</w:t>
      </w:r>
    </w:p>
    <w:p w:rsidR="009931AF" w:rsidRPr="009931AF" w:rsidRDefault="009931AF" w:rsidP="009931AF">
      <w:pPr>
        <w:spacing w:line="276" w:lineRule="auto"/>
        <w:ind w:right="-17"/>
        <w:jc w:val="both"/>
        <w:rPr>
          <w:color w:val="FF0000"/>
          <w:sz w:val="28"/>
          <w:szCs w:val="28"/>
        </w:rPr>
      </w:pPr>
    </w:p>
    <w:p w:rsidR="009931AF" w:rsidRPr="00FF6F5A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FF6F5A">
        <w:rPr>
          <w:b/>
          <w:i/>
          <w:sz w:val="28"/>
          <w:szCs w:val="28"/>
        </w:rPr>
        <w:t xml:space="preserve">Распределение показателей детского </w:t>
      </w:r>
    </w:p>
    <w:p w:rsidR="009931AF" w:rsidRPr="00FF6F5A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FF6F5A"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6094" w:type="dxa"/>
        <w:tblCellSpacing w:w="0" w:type="dxa"/>
        <w:tblInd w:w="2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1133"/>
        <w:gridCol w:w="1275"/>
      </w:tblGrid>
      <w:tr w:rsidR="009931AF" w:rsidRPr="00FF6F5A" w:rsidTr="009931AF">
        <w:trPr>
          <w:cantSplit/>
          <w:trHeight w:val="1021"/>
          <w:tblCellSpacing w:w="0" w:type="dxa"/>
        </w:trPr>
        <w:tc>
          <w:tcPr>
            <w:tcW w:w="1559" w:type="dxa"/>
            <w:vMerge w:val="restart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132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Основные показатели</w:t>
            </w:r>
          </w:p>
        </w:tc>
        <w:tc>
          <w:tcPr>
            <w:tcW w:w="2127" w:type="dxa"/>
            <w:gridSpan w:val="2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январь</w:t>
            </w:r>
          </w:p>
        </w:tc>
        <w:tc>
          <w:tcPr>
            <w:tcW w:w="2408" w:type="dxa"/>
            <w:gridSpan w:val="2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февраль</w:t>
            </w:r>
          </w:p>
        </w:tc>
      </w:tr>
      <w:tr w:rsidR="009931AF" w:rsidRPr="00FF6F5A" w:rsidTr="001C76BA">
        <w:trPr>
          <w:trHeight w:val="97"/>
          <w:tblCellSpacing w:w="0" w:type="dxa"/>
        </w:trPr>
        <w:tc>
          <w:tcPr>
            <w:tcW w:w="1559" w:type="dxa"/>
            <w:vMerge/>
            <w:shd w:val="clear" w:color="auto" w:fill="CCFFFF"/>
          </w:tcPr>
          <w:p w:rsidR="009931AF" w:rsidRPr="009931AF" w:rsidRDefault="009931AF" w:rsidP="001C76BA">
            <w:pPr>
              <w:spacing w:before="40" w:after="40"/>
              <w:ind w:left="426" w:right="4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18г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19г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18г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19г</w:t>
            </w:r>
          </w:p>
        </w:tc>
      </w:tr>
      <w:tr w:rsidR="009931AF" w:rsidRPr="00FF6F5A" w:rsidTr="001C76BA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ДТП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-293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 xml:space="preserve">     24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</w:t>
            </w:r>
          </w:p>
        </w:tc>
      </w:tr>
      <w:tr w:rsidR="009931AF" w:rsidRPr="00FF6F5A" w:rsidTr="001C76BA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погибших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2</w:t>
            </w:r>
          </w:p>
        </w:tc>
      </w:tr>
      <w:tr w:rsidR="009931AF" w:rsidRPr="00FF6F5A" w:rsidTr="001C76BA">
        <w:trPr>
          <w:trHeight w:val="528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раненых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17</w:t>
            </w:r>
          </w:p>
        </w:tc>
      </w:tr>
      <w:tr w:rsidR="009931AF" w:rsidRPr="00FF6F5A" w:rsidTr="001C76BA">
        <w:trPr>
          <w:trHeight w:val="608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Тяжесть последствий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в %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3,7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10,5</w:t>
            </w:r>
          </w:p>
        </w:tc>
      </w:tr>
    </w:tbl>
    <w:p w:rsidR="009931AF" w:rsidRDefault="009931AF" w:rsidP="009931AF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9931AF" w:rsidRPr="007C1646" w:rsidRDefault="009931AF" w:rsidP="000353DC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9931AF" w:rsidRDefault="009931AF" w:rsidP="009931AF">
      <w:pPr>
        <w:spacing w:line="276" w:lineRule="auto"/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7620</wp:posOffset>
            </wp:positionV>
            <wp:extent cx="2774315" cy="1619250"/>
            <wp:effectExtent l="57150" t="38100" r="45085" b="19050"/>
            <wp:wrapTight wrapText="bothSides">
              <wp:wrapPolygon edited="0">
                <wp:start x="-445" y="-508"/>
                <wp:lineTo x="-445" y="21854"/>
                <wp:lineTo x="21951" y="21854"/>
                <wp:lineTo x="21951" y="-508"/>
                <wp:lineTo x="-445" y="-508"/>
              </wp:wrapPolygon>
            </wp:wrapTight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26 и 14 дорожных аварий соответственно. </w:t>
      </w:r>
    </w:p>
    <w:p w:rsidR="009931AF" w:rsidRDefault="009931AF" w:rsidP="009931AF">
      <w:pPr>
        <w:spacing w:line="276" w:lineRule="auto"/>
        <w:ind w:firstLine="709"/>
        <w:jc w:val="both"/>
      </w:pPr>
      <w:r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9931AF" w:rsidRPr="008907CC" w:rsidRDefault="009931AF" w:rsidP="009931AF">
      <w:pPr>
        <w:jc w:val="center"/>
        <w:rPr>
          <w:b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565775" cy="2289810"/>
            <wp:effectExtent l="0" t="0" r="0" b="0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1AF" w:rsidRDefault="009931AF" w:rsidP="009931AF">
      <w:pPr>
        <w:spacing w:line="360" w:lineRule="auto"/>
        <w:rPr>
          <w:b/>
          <w:i/>
          <w:sz w:val="28"/>
          <w:szCs w:val="28"/>
        </w:rPr>
      </w:pPr>
    </w:p>
    <w:p w:rsidR="009931AF" w:rsidRDefault="009931AF" w:rsidP="009931A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погибших в ДТП детей </w:t>
      </w:r>
    </w:p>
    <w:p w:rsidR="009931AF" w:rsidRDefault="009931AF" w:rsidP="009931A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9931AF" w:rsidRDefault="009931AF" w:rsidP="009931AF">
      <w:pPr>
        <w:spacing w:line="276" w:lineRule="auto"/>
        <w:jc w:val="center"/>
        <w:rPr>
          <w:color w:val="000000"/>
          <w:sz w:val="28"/>
          <w:szCs w:val="28"/>
        </w:rPr>
      </w:pPr>
    </w:p>
    <w:p w:rsidR="009931AF" w:rsidRDefault="009931AF" w:rsidP="009931A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За 2 месяца 2019 года на территории Московской области в 3 дорожных авариях погибли 3 (АППГ – 4, -25%) юных участника дорожного движения. </w:t>
      </w:r>
    </w:p>
    <w:p w:rsidR="009931AF" w:rsidRDefault="009931AF" w:rsidP="009931AF">
      <w:pPr>
        <w:spacing w:line="276" w:lineRule="auto"/>
        <w:jc w:val="both"/>
        <w:rPr>
          <w:sz w:val="28"/>
          <w:szCs w:val="28"/>
        </w:rPr>
      </w:pPr>
    </w:p>
    <w:p w:rsidR="009931AF" w:rsidRDefault="009931AF" w:rsidP="000353D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8725" cy="201993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9931AF" w:rsidP="000353D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931AF" w:rsidTr="009931AF">
        <w:trPr>
          <w:trHeight w:val="5578"/>
        </w:trPr>
        <w:tc>
          <w:tcPr>
            <w:tcW w:w="5210" w:type="dxa"/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  <w:p w:rsidR="009931AF" w:rsidRDefault="009931AF" w:rsidP="009931AF">
            <w:pPr>
              <w:tabs>
                <w:tab w:val="left" w:pos="0"/>
              </w:tabs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 3-х ДТП погибли 4 ребенка-пассажира: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Все дети перевозились </w:t>
            </w:r>
          </w:p>
          <w:p w:rsidR="009931AF" w:rsidRPr="009B3A49" w:rsidRDefault="009931AF" w:rsidP="009931AF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 w:rsidRPr="00A564B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ребенок в возрасте до 7 лет перевозился с использованием детского удерживающего устройства;</w:t>
            </w:r>
          </w:p>
          <w:p w:rsidR="009931AF" w:rsidRPr="001D657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564BD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ребенка старше 7 лет перевозились с использованием ремней безопасности.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Расположение детей в</w:t>
            </w:r>
          </w:p>
          <w:p w:rsidR="009931AF" w:rsidRPr="00851052" w:rsidRDefault="009931AF" w:rsidP="009931AF">
            <w:pPr>
              <w:tabs>
                <w:tab w:val="left" w:pos="35"/>
              </w:tabs>
              <w:spacing w:line="276" w:lineRule="auto"/>
              <w:ind w:left="284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9931AF" w:rsidRDefault="009931AF" w:rsidP="009931AF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851052">
              <w:rPr>
                <w:color w:val="000000"/>
                <w:sz w:val="28"/>
                <w:szCs w:val="28"/>
              </w:rPr>
              <w:t>все дет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1052">
              <w:rPr>
                <w:color w:val="000000"/>
                <w:sz w:val="28"/>
                <w:szCs w:val="28"/>
              </w:rPr>
              <w:t xml:space="preserve"> находились на задних пассажирских</w:t>
            </w:r>
            <w:r>
              <w:rPr>
                <w:color w:val="000000"/>
                <w:sz w:val="28"/>
                <w:szCs w:val="28"/>
              </w:rPr>
              <w:t xml:space="preserve"> сидениях автомобилей.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9931AF" w:rsidRPr="00A564BD" w:rsidRDefault="009931AF" w:rsidP="009931AF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2-х ДТП погибли 2 ребенка-пассажира: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до 7 лет являлся пассажиром квадроцикла, перевозился без использования защитного шлема и спец. экипировки;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до 7 лет – использование ДУУ не установлено.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в 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9931AF" w:rsidRPr="00EC702A" w:rsidRDefault="009931AF" w:rsidP="009931AF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B30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C702A">
              <w:rPr>
                <w:color w:val="000000"/>
                <w:sz w:val="28"/>
                <w:szCs w:val="28"/>
              </w:rPr>
              <w:t xml:space="preserve">ребенок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70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место расположения в салоне автомобиля не установлено</w:t>
            </w:r>
            <w:r w:rsidRPr="00EC702A">
              <w:rPr>
                <w:color w:val="000000"/>
                <w:sz w:val="28"/>
                <w:szCs w:val="28"/>
              </w:rPr>
              <w:t>;</w:t>
            </w:r>
          </w:p>
          <w:p w:rsidR="009931AF" w:rsidRPr="00836100" w:rsidRDefault="009931AF" w:rsidP="009931AF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DB5DA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бенок находился на заднем сидении квадроцикла.</w:t>
            </w:r>
          </w:p>
        </w:tc>
      </w:tr>
    </w:tbl>
    <w:p w:rsidR="009931AF" w:rsidRDefault="009931AF" w:rsidP="009931AF">
      <w:pPr>
        <w:spacing w:line="276" w:lineRule="auto"/>
        <w:ind w:firstLine="851"/>
        <w:jc w:val="both"/>
        <w:rPr>
          <w:sz w:val="28"/>
          <w:szCs w:val="28"/>
        </w:rPr>
      </w:pPr>
    </w:p>
    <w:p w:rsidR="009931AF" w:rsidRPr="00D14F7B" w:rsidRDefault="009931AF" w:rsidP="009931AF">
      <w:pPr>
        <w:spacing w:line="276" w:lineRule="auto"/>
        <w:ind w:firstLine="851"/>
        <w:jc w:val="both"/>
        <w:rPr>
          <w:sz w:val="16"/>
          <w:szCs w:val="16"/>
        </w:rPr>
      </w:pPr>
      <w:r w:rsidRPr="00032461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погибшие дети-пассажиры стали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9931AF" w:rsidRPr="00D14F7B" w:rsidRDefault="009931AF" w:rsidP="009931AF">
      <w:pPr>
        <w:ind w:firstLine="851"/>
        <w:jc w:val="both"/>
        <w:rPr>
          <w:sz w:val="16"/>
          <w:szCs w:val="16"/>
        </w:rPr>
      </w:pPr>
    </w:p>
    <w:p w:rsidR="009931AF" w:rsidRDefault="009931AF" w:rsidP="009931A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931AF" w:rsidTr="001C76BA">
        <w:trPr>
          <w:trHeight w:val="292"/>
        </w:trPr>
        <w:tc>
          <w:tcPr>
            <w:tcW w:w="5210" w:type="dxa"/>
            <w:shd w:val="clear" w:color="auto" w:fill="auto"/>
          </w:tcPr>
          <w:p w:rsidR="009931AF" w:rsidRPr="009B3A49" w:rsidRDefault="009931AF" w:rsidP="009931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9B3A49">
              <w:rPr>
                <w:b/>
                <w:i/>
                <w:sz w:val="28"/>
                <w:szCs w:val="28"/>
              </w:rPr>
              <w:t xml:space="preserve">За 2 месяца 2018 года ДТП с </w:t>
            </w:r>
            <w:r>
              <w:rPr>
                <w:b/>
                <w:i/>
                <w:sz w:val="28"/>
                <w:szCs w:val="28"/>
              </w:rPr>
              <w:t xml:space="preserve">летальным исходом с </w:t>
            </w:r>
            <w:r w:rsidRPr="009B3A49">
              <w:rPr>
                <w:b/>
                <w:i/>
                <w:sz w:val="28"/>
                <w:szCs w:val="28"/>
              </w:rPr>
              <w:t>участием детей-пешеходов зарегистрировано не было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1 ДТП погиб 1 ребенок - пешеход:</w:t>
            </w:r>
          </w:p>
          <w:p w:rsidR="009931AF" w:rsidRPr="00204E03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лет).</w:t>
            </w:r>
          </w:p>
          <w:p w:rsidR="009931AF" w:rsidRPr="00E62FA8" w:rsidRDefault="009931AF" w:rsidP="009931AF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ДТП - вне зоны действия пешеходного перехода.</w:t>
            </w:r>
          </w:p>
          <w:p w:rsidR="009931AF" w:rsidRPr="00204E03" w:rsidRDefault="009931AF" w:rsidP="009931AF">
            <w:pPr>
              <w:widowControl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находился на месте ДТП без сопровождения взрослого.</w:t>
            </w:r>
          </w:p>
          <w:p w:rsidR="009931AF" w:rsidRPr="008A7BF4" w:rsidRDefault="009931AF" w:rsidP="009931AF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 случае в одежде ребенка использовались  световозвращающие элементы.</w:t>
            </w:r>
          </w:p>
        </w:tc>
      </w:tr>
    </w:tbl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0353DC" w:rsidRDefault="000353DC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0353DC" w:rsidRDefault="000353DC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Распределение пострадавших в ДТП детей</w:t>
      </w: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4"/>
          <w:szCs w:val="4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4"/>
          <w:szCs w:val="4"/>
        </w:rPr>
      </w:pPr>
    </w:p>
    <w:p w:rsidR="009931AF" w:rsidRDefault="009931AF" w:rsidP="009931AF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436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639695" cy="135953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491"/>
        <w:jc w:val="both"/>
        <w:rPr>
          <w:sz w:val="28"/>
          <w:szCs w:val="28"/>
        </w:rPr>
      </w:pPr>
    </w:p>
    <w:p w:rsidR="009931AF" w:rsidRPr="00382AB9" w:rsidRDefault="009931AF" w:rsidP="000353DC">
      <w:pPr>
        <w:spacing w:line="276" w:lineRule="auto"/>
        <w:ind w:firstLine="49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Дети, пострадавшие в результате ДТП, подразделяются на 2 категории участников дорожного движения: пешеходов и пассажиров.</w:t>
      </w:r>
    </w:p>
    <w:p w:rsidR="009931AF" w:rsidRPr="00514C90" w:rsidRDefault="009931AF" w:rsidP="000353DC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пешеходов произошло 14 ДТП       (АППГ – 20, -30%), что </w:t>
      </w:r>
      <w:r>
        <w:rPr>
          <w:sz w:val="28"/>
          <w:szCs w:val="28"/>
        </w:rPr>
        <w:t xml:space="preserve">составило 33% от общего числа дорожных аварий, в которых 1 ребенок погиб (АППГ – 0, +100%) и 13 получили ранения (АППГ – 20, -35%). </w:t>
      </w:r>
      <w:r w:rsidRPr="00401C48">
        <w:rPr>
          <w:sz w:val="28"/>
          <w:szCs w:val="28"/>
        </w:rPr>
        <w:t xml:space="preserve">4 ДТП (29%) зарегистрировано в зоне действия пешеходного перехода. </w:t>
      </w:r>
      <w:r>
        <w:rPr>
          <w:sz w:val="28"/>
          <w:szCs w:val="28"/>
        </w:rPr>
        <w:t>9</w:t>
      </w:r>
      <w:r w:rsidRPr="00401C48">
        <w:rPr>
          <w:sz w:val="28"/>
          <w:szCs w:val="28"/>
        </w:rPr>
        <w:t xml:space="preserve"> подростков - дети школьного возраста (</w:t>
      </w:r>
      <w:r>
        <w:rPr>
          <w:sz w:val="28"/>
          <w:szCs w:val="28"/>
        </w:rPr>
        <w:t>64</w:t>
      </w:r>
      <w:r w:rsidRPr="00401C48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                     </w:t>
      </w:r>
      <w:r w:rsidRPr="00401C48">
        <w:rPr>
          <w:sz w:val="28"/>
          <w:szCs w:val="28"/>
        </w:rPr>
        <w:t xml:space="preserve">5 – дошкольники. </w:t>
      </w:r>
      <w:r w:rsidRPr="000A2CFC">
        <w:rPr>
          <w:sz w:val="28"/>
          <w:szCs w:val="28"/>
        </w:rPr>
        <w:t xml:space="preserve">8 детей (57%) в момент ДТП находились без сопровождения взрослых. Из всех пострадавших юных пешеходов только 2 (14%) использовали в одежде световозвращающие элементы. </w:t>
      </w:r>
    </w:p>
    <w:p w:rsidR="009931AF" w:rsidRPr="007263AA" w:rsidRDefault="009931AF" w:rsidP="000353DC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 месяца 2019 года ДТП с участием несовершеннолетних во дворовых территориях допущены не были.</w:t>
      </w:r>
    </w:p>
    <w:p w:rsidR="009931AF" w:rsidRPr="00B048B0" w:rsidRDefault="009931AF" w:rsidP="000353DC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пассажиров зарегистрировано 29 ДТП (АППГ – 37, -21,6%), что </w:t>
      </w:r>
      <w:r w:rsidRPr="003652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67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аварий, в которых 2 ребенка погибли (АППГ – 4, -50%) и 30 получили травмы (АППГ – 40, -25</w:t>
      </w:r>
      <w:r w:rsidRPr="00B048B0">
        <w:rPr>
          <w:sz w:val="28"/>
          <w:szCs w:val="28"/>
        </w:rPr>
        <w:t xml:space="preserve">%). Перевозка </w:t>
      </w:r>
      <w:r>
        <w:rPr>
          <w:sz w:val="28"/>
          <w:szCs w:val="28"/>
        </w:rPr>
        <w:t>5</w:t>
      </w:r>
      <w:r w:rsidRPr="00B048B0">
        <w:rPr>
          <w:sz w:val="28"/>
          <w:szCs w:val="28"/>
        </w:rPr>
        <w:t xml:space="preserve"> юн</w:t>
      </w:r>
      <w:r>
        <w:rPr>
          <w:sz w:val="28"/>
          <w:szCs w:val="28"/>
        </w:rPr>
        <w:t>ых</w:t>
      </w:r>
      <w:r w:rsidRPr="00B048B0">
        <w:rPr>
          <w:sz w:val="28"/>
          <w:szCs w:val="28"/>
        </w:rPr>
        <w:t xml:space="preserve"> пассажир</w:t>
      </w:r>
      <w:r>
        <w:rPr>
          <w:sz w:val="28"/>
          <w:szCs w:val="28"/>
        </w:rPr>
        <w:t>ов</w:t>
      </w:r>
      <w:r w:rsidRPr="00B048B0">
        <w:rPr>
          <w:sz w:val="28"/>
          <w:szCs w:val="28"/>
        </w:rPr>
        <w:t xml:space="preserve"> (16%) осуществлялась с нарушениями ПДД РФ, то есть без применения детских удерживающих устройств и ремней безопасности.</w:t>
      </w:r>
    </w:p>
    <w:p w:rsidR="009931AF" w:rsidRDefault="009931AF" w:rsidP="000353DC">
      <w:pPr>
        <w:spacing w:line="360" w:lineRule="auto"/>
        <w:rPr>
          <w:b/>
          <w:i/>
          <w:sz w:val="28"/>
          <w:szCs w:val="28"/>
        </w:rPr>
      </w:pPr>
    </w:p>
    <w:p w:rsidR="009931AF" w:rsidRPr="00021062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021062">
        <w:rPr>
          <w:b/>
          <w:i/>
          <w:sz w:val="28"/>
          <w:szCs w:val="28"/>
        </w:rPr>
        <w:t xml:space="preserve">Распределение пострадавших в ДТП детей </w:t>
      </w:r>
    </w:p>
    <w:p w:rsidR="009931AF" w:rsidRPr="00021062" w:rsidRDefault="009931AF" w:rsidP="009931AF">
      <w:pPr>
        <w:spacing w:line="360" w:lineRule="auto"/>
        <w:jc w:val="center"/>
        <w:rPr>
          <w:sz w:val="28"/>
          <w:szCs w:val="28"/>
        </w:rPr>
      </w:pPr>
      <w:r w:rsidRPr="00021062">
        <w:rPr>
          <w:b/>
          <w:i/>
          <w:sz w:val="28"/>
          <w:szCs w:val="28"/>
        </w:rPr>
        <w:t xml:space="preserve">по возрастным категориям </w:t>
      </w:r>
    </w:p>
    <w:p w:rsidR="009931AF" w:rsidRPr="00223F7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9931AF" w:rsidRPr="0037050D" w:rsidTr="001C76BA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lastRenderedPageBreak/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snapToGrid w:val="0"/>
              <w:jc w:val="center"/>
              <w:rPr>
                <w:b/>
              </w:rPr>
            </w:pPr>
          </w:p>
          <w:p w:rsidR="009931AF" w:rsidRPr="0037050D" w:rsidRDefault="009931AF" w:rsidP="001C76BA">
            <w:pPr>
              <w:jc w:val="center"/>
              <w:rPr>
                <w:b/>
              </w:rPr>
            </w:pPr>
            <w:r w:rsidRPr="0037050D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snapToGrid w:val="0"/>
              <w:jc w:val="center"/>
              <w:rPr>
                <w:b/>
              </w:rPr>
            </w:pPr>
          </w:p>
          <w:p w:rsidR="009931AF" w:rsidRPr="0037050D" w:rsidRDefault="009931AF" w:rsidP="001C76BA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47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16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28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9</w:t>
            </w:r>
          </w:p>
        </w:tc>
      </w:tr>
      <w:tr w:rsidR="009931AF" w:rsidRPr="0037050D" w:rsidTr="001C76BA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931AF" w:rsidRPr="00223F75" w:rsidRDefault="009931AF" w:rsidP="009931AF">
      <w:pPr>
        <w:spacing w:line="360" w:lineRule="auto"/>
        <w:jc w:val="both"/>
        <w:rPr>
          <w:sz w:val="12"/>
          <w:szCs w:val="12"/>
        </w:rPr>
      </w:pPr>
    </w:p>
    <w:p w:rsidR="009931AF" w:rsidRPr="0037050D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9931AF" w:rsidRPr="0062711B" w:rsidRDefault="009931AF" w:rsidP="009931AF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49195" cy="151066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07945" cy="150304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31AF" w:rsidRPr="006353C6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A21CA">
        <w:rPr>
          <w:sz w:val="28"/>
          <w:szCs w:val="28"/>
        </w:rPr>
        <w:t>% ДТП приходится на детей школьного возраста, из кото</w:t>
      </w:r>
      <w:r>
        <w:rPr>
          <w:sz w:val="28"/>
          <w:szCs w:val="28"/>
        </w:rPr>
        <w:t>рых наибольшему риску подвержена</w:t>
      </w:r>
      <w:r w:rsidRPr="008A21CA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</w:t>
      </w:r>
      <w:r>
        <w:rPr>
          <w:sz w:val="28"/>
          <w:szCs w:val="28"/>
        </w:rPr>
        <w:t>10 до 14</w:t>
      </w:r>
      <w:r w:rsidRPr="008A21CA">
        <w:rPr>
          <w:sz w:val="28"/>
          <w:szCs w:val="28"/>
        </w:rPr>
        <w:t xml:space="preserve"> лет. </w:t>
      </w:r>
    </w:p>
    <w:p w:rsidR="009931AF" w:rsidRPr="00E07586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Pr="0041379D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41379D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9931AF" w:rsidRPr="0041379D" w:rsidRDefault="009931AF" w:rsidP="000353DC">
      <w:pPr>
        <w:spacing w:line="276" w:lineRule="auto"/>
        <w:jc w:val="center"/>
        <w:rPr>
          <w:b/>
          <w:sz w:val="28"/>
          <w:szCs w:val="28"/>
        </w:rPr>
      </w:pPr>
      <w:r w:rsidRPr="0041379D">
        <w:rPr>
          <w:b/>
          <w:i/>
          <w:sz w:val="28"/>
          <w:szCs w:val="28"/>
        </w:rPr>
        <w:t>в зависимости от погодных условий</w:t>
      </w:r>
    </w:p>
    <w:p w:rsidR="009931AF" w:rsidRDefault="009931AF" w:rsidP="009931AF">
      <w:pPr>
        <w:spacing w:line="360" w:lineRule="auto"/>
        <w:ind w:left="284"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75045" cy="18923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765F77">
        <w:rPr>
          <w:sz w:val="28"/>
          <w:szCs w:val="28"/>
        </w:rPr>
        <w:t xml:space="preserve">29 ДТП (68%),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</w:t>
      </w:r>
      <w:r w:rsidRPr="00765F77">
        <w:rPr>
          <w:sz w:val="28"/>
          <w:szCs w:val="28"/>
        </w:rPr>
        <w:lastRenderedPageBreak/>
        <w:t>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0353DC" w:rsidRPr="00E72A4F" w:rsidRDefault="000353DC" w:rsidP="000353DC">
      <w:pPr>
        <w:spacing w:line="276" w:lineRule="auto"/>
        <w:ind w:firstLine="709"/>
        <w:jc w:val="both"/>
        <w:rPr>
          <w:sz w:val="28"/>
          <w:szCs w:val="28"/>
        </w:rPr>
      </w:pPr>
    </w:p>
    <w:p w:rsidR="009931AF" w:rsidRPr="003811EC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3811EC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9931AF" w:rsidRPr="003811EC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3811EC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9931AF" w:rsidRPr="003811EC" w:rsidRDefault="009931AF" w:rsidP="000353DC">
      <w:pPr>
        <w:spacing w:line="276" w:lineRule="auto"/>
        <w:jc w:val="center"/>
      </w:pPr>
      <w:r w:rsidRPr="003811EC">
        <w:rPr>
          <w:b/>
          <w:i/>
          <w:sz w:val="28"/>
          <w:szCs w:val="28"/>
        </w:rPr>
        <w:t>состояния улично-дорожной сети</w:t>
      </w:r>
    </w:p>
    <w:p w:rsidR="009931AF" w:rsidRPr="00E72A4F" w:rsidRDefault="009931AF" w:rsidP="009931AF">
      <w:pPr>
        <w:spacing w:line="36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884680" cy="131191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763AE3">
        <w:rPr>
          <w:color w:val="FF0000"/>
          <w:sz w:val="28"/>
          <w:szCs w:val="28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1932305" cy="133604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763AE3">
        <w:rPr>
          <w:color w:val="FF0000"/>
          <w:sz w:val="28"/>
          <w:szCs w:val="28"/>
        </w:rPr>
        <w:t xml:space="preserve">     </w:t>
      </w:r>
      <w:r>
        <w:rPr>
          <w:noProof/>
          <w:color w:val="FF0000"/>
        </w:rPr>
        <w:drawing>
          <wp:inline distT="0" distB="0" distL="0" distR="0">
            <wp:extent cx="2011680" cy="133604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31A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BF08A9">
        <w:rPr>
          <w:sz w:val="28"/>
          <w:szCs w:val="28"/>
        </w:rPr>
        <w:t xml:space="preserve">В </w:t>
      </w:r>
      <w:r>
        <w:rPr>
          <w:sz w:val="28"/>
          <w:szCs w:val="28"/>
        </w:rPr>
        <w:t>19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44</w:t>
      </w:r>
      <w:r w:rsidRPr="00BF08A9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</w:t>
      </w:r>
      <w:r>
        <w:rPr>
          <w:sz w:val="28"/>
          <w:szCs w:val="28"/>
        </w:rPr>
        <w:t xml:space="preserve">    </w:t>
      </w:r>
      <w:r w:rsidR="000353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F08A9">
        <w:rPr>
          <w:sz w:val="28"/>
          <w:szCs w:val="28"/>
        </w:rPr>
        <w:t xml:space="preserve">2 несовершеннолетних погибли и </w:t>
      </w:r>
      <w:r>
        <w:rPr>
          <w:sz w:val="28"/>
          <w:szCs w:val="28"/>
        </w:rPr>
        <w:t>17</w:t>
      </w:r>
      <w:r w:rsidRPr="00BF08A9">
        <w:rPr>
          <w:sz w:val="28"/>
          <w:szCs w:val="28"/>
        </w:rPr>
        <w:t xml:space="preserve"> получили ранения. </w:t>
      </w:r>
    </w:p>
    <w:p w:rsidR="000353DC" w:rsidRPr="00E72A4F" w:rsidRDefault="000353DC" w:rsidP="000353DC">
      <w:pPr>
        <w:spacing w:line="276" w:lineRule="auto"/>
        <w:ind w:firstLine="709"/>
        <w:jc w:val="both"/>
        <w:rPr>
          <w:sz w:val="28"/>
          <w:szCs w:val="28"/>
        </w:rPr>
      </w:pPr>
    </w:p>
    <w:p w:rsidR="009931AF" w:rsidRPr="00693E5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693E5F">
        <w:rPr>
          <w:b/>
          <w:i/>
          <w:sz w:val="28"/>
          <w:szCs w:val="28"/>
        </w:rPr>
        <w:t>Рас</w:t>
      </w:r>
      <w:r>
        <w:rPr>
          <w:b/>
          <w:i/>
          <w:sz w:val="28"/>
          <w:szCs w:val="28"/>
        </w:rPr>
        <w:t>пределение ДТП с участием детей</w:t>
      </w:r>
    </w:p>
    <w:p w:rsidR="009931AF" w:rsidRPr="00693E5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693E5F">
        <w:rPr>
          <w:b/>
          <w:i/>
          <w:sz w:val="28"/>
          <w:szCs w:val="28"/>
        </w:rPr>
        <w:t>в зависимости от категории автодороги</w:t>
      </w:r>
    </w:p>
    <w:p w:rsidR="009931AF" w:rsidRDefault="009931AF" w:rsidP="009931A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70200" cy="143129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31AF" w:rsidRPr="002E5806" w:rsidRDefault="009931AF" w:rsidP="009931AF">
      <w:pPr>
        <w:spacing w:line="360" w:lineRule="auto"/>
        <w:jc w:val="center"/>
        <w:rPr>
          <w:sz w:val="12"/>
          <w:szCs w:val="12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87320" cy="144716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2065" cy="143891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931AF" w:rsidRPr="00E72A4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BF08A9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>
        <w:rPr>
          <w:sz w:val="28"/>
          <w:szCs w:val="28"/>
        </w:rPr>
        <w:t>22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51</w:t>
      </w:r>
      <w:r w:rsidRPr="00BF08A9">
        <w:rPr>
          <w:sz w:val="28"/>
          <w:szCs w:val="28"/>
        </w:rPr>
        <w:t xml:space="preserve">%), </w:t>
      </w:r>
      <w:r>
        <w:rPr>
          <w:sz w:val="28"/>
          <w:szCs w:val="28"/>
        </w:rPr>
        <w:t>2</w:t>
      </w:r>
      <w:r w:rsidRPr="00BF08A9">
        <w:rPr>
          <w:sz w:val="28"/>
          <w:szCs w:val="28"/>
        </w:rPr>
        <w:t xml:space="preserve"> погибших (</w:t>
      </w:r>
      <w:r>
        <w:rPr>
          <w:sz w:val="28"/>
          <w:szCs w:val="28"/>
        </w:rPr>
        <w:t>67%), 20</w:t>
      </w:r>
      <w:r w:rsidRPr="00BF08A9">
        <w:rPr>
          <w:sz w:val="28"/>
          <w:szCs w:val="28"/>
        </w:rPr>
        <w:t xml:space="preserve"> пострадавших</w:t>
      </w:r>
      <w:r>
        <w:rPr>
          <w:sz w:val="28"/>
          <w:szCs w:val="28"/>
        </w:rPr>
        <w:t xml:space="preserve"> (46</w:t>
      </w:r>
      <w:r w:rsidRPr="00BF08A9">
        <w:rPr>
          <w:sz w:val="28"/>
          <w:szCs w:val="28"/>
        </w:rPr>
        <w:t xml:space="preserve">%); на автодорогах регионального уровня - </w:t>
      </w:r>
      <w:r>
        <w:rPr>
          <w:sz w:val="28"/>
          <w:szCs w:val="28"/>
        </w:rPr>
        <w:t>13</w:t>
      </w:r>
      <w:r w:rsidRPr="00BF08A9">
        <w:rPr>
          <w:sz w:val="28"/>
          <w:szCs w:val="28"/>
        </w:rPr>
        <w:t xml:space="preserve"> ДТП (3</w:t>
      </w:r>
      <w:r>
        <w:rPr>
          <w:sz w:val="28"/>
          <w:szCs w:val="28"/>
        </w:rPr>
        <w:t>0</w:t>
      </w:r>
      <w:r w:rsidRPr="00BF08A9">
        <w:rPr>
          <w:sz w:val="28"/>
          <w:szCs w:val="28"/>
        </w:rPr>
        <w:t>%),</w:t>
      </w:r>
      <w:r w:rsidR="000353DC">
        <w:rPr>
          <w:sz w:val="28"/>
          <w:szCs w:val="28"/>
        </w:rPr>
        <w:t xml:space="preserve"> </w:t>
      </w:r>
      <w:r>
        <w:rPr>
          <w:sz w:val="28"/>
          <w:szCs w:val="28"/>
        </w:rPr>
        <w:t>1 погибший (33%), 14</w:t>
      </w:r>
      <w:r w:rsidRPr="00BF08A9">
        <w:rPr>
          <w:sz w:val="28"/>
          <w:szCs w:val="28"/>
        </w:rPr>
        <w:t xml:space="preserve"> пострадавших (</w:t>
      </w:r>
      <w:r>
        <w:rPr>
          <w:sz w:val="28"/>
          <w:szCs w:val="28"/>
        </w:rPr>
        <w:t>33</w:t>
      </w:r>
      <w:r w:rsidRPr="00BF08A9">
        <w:rPr>
          <w:sz w:val="28"/>
          <w:szCs w:val="28"/>
        </w:rPr>
        <w:t xml:space="preserve">%); на дорогах федерального значения – </w:t>
      </w:r>
      <w:r w:rsidR="000353DC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19</w:t>
      </w:r>
      <w:r w:rsidRPr="00BF08A9">
        <w:rPr>
          <w:sz w:val="28"/>
          <w:szCs w:val="28"/>
        </w:rPr>
        <w:t xml:space="preserve">%), </w:t>
      </w:r>
      <w:r>
        <w:rPr>
          <w:sz w:val="28"/>
          <w:szCs w:val="28"/>
        </w:rPr>
        <w:t>9</w:t>
      </w:r>
      <w:r w:rsidRPr="00BF08A9">
        <w:rPr>
          <w:sz w:val="28"/>
          <w:szCs w:val="28"/>
        </w:rPr>
        <w:t xml:space="preserve"> пострадавших (</w:t>
      </w:r>
      <w:r>
        <w:rPr>
          <w:sz w:val="28"/>
          <w:szCs w:val="28"/>
        </w:rPr>
        <w:t>21</w:t>
      </w:r>
      <w:r w:rsidRPr="00BF08A9">
        <w:rPr>
          <w:sz w:val="28"/>
          <w:szCs w:val="28"/>
        </w:rPr>
        <w:t>%).</w:t>
      </w:r>
    </w:p>
    <w:p w:rsidR="009931AF" w:rsidRDefault="009931AF" w:rsidP="000353DC">
      <w:pPr>
        <w:spacing w:line="276" w:lineRule="auto"/>
        <w:jc w:val="center"/>
      </w:pPr>
      <w:r>
        <w:rPr>
          <w:b/>
          <w:i/>
          <w:sz w:val="28"/>
          <w:szCs w:val="28"/>
        </w:rPr>
        <w:lastRenderedPageBreak/>
        <w:t xml:space="preserve">Распределение ДТП по времени суток </w:t>
      </w:r>
    </w:p>
    <w:p w:rsidR="009931AF" w:rsidRPr="002E5806" w:rsidRDefault="009931AF" w:rsidP="009931AF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>
            <wp:extent cx="5669280" cy="17653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9931AF" w:rsidTr="001C76BA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rPr>
                <w:b/>
                <w:color w:val="000000"/>
              </w:rPr>
              <w:t>Ранено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2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12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17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3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  <w:rPr>
                <w:b/>
              </w:rPr>
            </w:pPr>
            <w:r w:rsidRPr="000353DC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</w:tr>
    </w:tbl>
    <w:p w:rsidR="009931AF" w:rsidRPr="00E72A4F" w:rsidRDefault="009931AF" w:rsidP="009931AF">
      <w:pPr>
        <w:spacing w:line="360" w:lineRule="auto"/>
        <w:ind w:firstLine="709"/>
        <w:jc w:val="both"/>
        <w:rPr>
          <w:sz w:val="8"/>
          <w:szCs w:val="8"/>
        </w:rPr>
      </w:pPr>
    </w:p>
    <w:p w:rsidR="009931AF" w:rsidRPr="002E5806" w:rsidRDefault="009931AF" w:rsidP="000353DC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 xml:space="preserve">37% ДТП происходит в период с 12ч.00мин. до 21ч.00мин. (36 ДТП, 84%). Данная тенденция связана с увеличением интенсивности транспортных потоков и активным пребыванием детей на улице. </w:t>
      </w: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9931AF" w:rsidRDefault="009931AF" w:rsidP="000353DC">
      <w:pPr>
        <w:spacing w:line="276" w:lineRule="auto"/>
        <w:jc w:val="center"/>
        <w:rPr>
          <w:b/>
          <w:i/>
          <w:sz w:val="16"/>
          <w:szCs w:val="16"/>
        </w:rPr>
      </w:pPr>
    </w:p>
    <w:p w:rsidR="009931AF" w:rsidRDefault="009931AF" w:rsidP="009931AF">
      <w:pPr>
        <w:jc w:val="center"/>
      </w:pPr>
      <w:r>
        <w:rPr>
          <w:noProof/>
        </w:rPr>
        <w:drawing>
          <wp:inline distT="0" distB="0" distL="0" distR="0">
            <wp:extent cx="5160645" cy="190055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31AF" w:rsidRDefault="009931AF" w:rsidP="009931AF">
      <w:pPr>
        <w:jc w:val="center"/>
      </w:pPr>
    </w:p>
    <w:p w:rsidR="009931AF" w:rsidRPr="00E72A4F" w:rsidRDefault="009931AF" w:rsidP="009931AF">
      <w:pPr>
        <w:jc w:val="center"/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9931AF" w:rsidTr="001C76BA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rPr>
                <w:b/>
                <w:color w:val="000000"/>
              </w:rPr>
              <w:t>Ранено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5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7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lastRenderedPageBreak/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</w:tr>
    </w:tbl>
    <w:p w:rsidR="009931AF" w:rsidRPr="00E72A4F" w:rsidRDefault="009931AF" w:rsidP="009931AF">
      <w:pPr>
        <w:spacing w:line="360" w:lineRule="auto"/>
        <w:ind w:firstLine="708"/>
        <w:jc w:val="both"/>
        <w:rPr>
          <w:sz w:val="12"/>
          <w:szCs w:val="12"/>
        </w:rPr>
      </w:pPr>
    </w:p>
    <w:p w:rsidR="009931AF" w:rsidRDefault="009931AF" w:rsidP="000353DC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Диаграмма показывает, что наиболее аварийным днем за отчетный период является суббота (9 ДТП, 21%). </w:t>
      </w:r>
    </w:p>
    <w:p w:rsidR="009931AF" w:rsidRPr="002E5806" w:rsidRDefault="009931AF" w:rsidP="000353DC">
      <w:pPr>
        <w:spacing w:line="276" w:lineRule="auto"/>
        <w:jc w:val="center"/>
        <w:rPr>
          <w:b/>
          <w:i/>
          <w:sz w:val="12"/>
          <w:szCs w:val="12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A77C7C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0353DC" w:rsidRPr="00A77C7C" w:rsidRDefault="000353DC" w:rsidP="000353DC">
      <w:pPr>
        <w:spacing w:line="276" w:lineRule="auto"/>
        <w:jc w:val="center"/>
        <w:rPr>
          <w:sz w:val="28"/>
          <w:szCs w:val="28"/>
        </w:rPr>
      </w:pPr>
    </w:p>
    <w:p w:rsidR="009931AF" w:rsidRPr="00310CE3" w:rsidRDefault="009931AF" w:rsidP="000353DC">
      <w:pPr>
        <w:spacing w:line="276" w:lineRule="auto"/>
        <w:ind w:right="125" w:firstLine="708"/>
        <w:jc w:val="both"/>
        <w:rPr>
          <w:sz w:val="28"/>
          <w:szCs w:val="28"/>
        </w:rPr>
      </w:pPr>
      <w:r w:rsidRPr="00310CE3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16% - жители г. Москвы, в 5% - других регионов. </w:t>
      </w:r>
    </w:p>
    <w:p w:rsidR="009931AF" w:rsidRPr="00310CE3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10CE3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9931AF" w:rsidRPr="00310CE3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Default="009931AF" w:rsidP="009931AF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639695" cy="157416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2838450" cy="157416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931AF" w:rsidRDefault="009931AF" w:rsidP="009931AF">
      <w:pPr>
        <w:spacing w:line="360" w:lineRule="auto"/>
        <w:jc w:val="both"/>
      </w:pPr>
    </w:p>
    <w:p w:rsidR="009931AF" w:rsidRPr="00887073" w:rsidRDefault="009931AF" w:rsidP="009931A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79700" cy="166179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9931AF" w:rsidTr="001C76BA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</w:pPr>
            <w:r>
              <w:rPr>
                <w:b/>
                <w:sz w:val="26"/>
                <w:szCs w:val="26"/>
              </w:rPr>
              <w:t>Ранено</w:t>
            </w:r>
          </w:p>
        </w:tc>
      </w:tr>
      <w:tr w:rsidR="009931AF" w:rsidTr="001C76BA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от общего </w:t>
            </w:r>
          </w:p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</w:pPr>
            <w:r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9931AF" w:rsidTr="001C76BA">
        <w:trPr>
          <w:trHeight w:val="56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BA1E66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9931AF" w:rsidTr="001C76BA">
        <w:trPr>
          <w:trHeight w:val="36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9931AF" w:rsidTr="001C76BA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931AF" w:rsidRDefault="009931AF" w:rsidP="009931AF">
      <w:pPr>
        <w:rPr>
          <w:b/>
          <w:i/>
          <w:sz w:val="10"/>
          <w:szCs w:val="10"/>
        </w:rPr>
      </w:pPr>
    </w:p>
    <w:p w:rsidR="009931AF" w:rsidRPr="00E72A4F" w:rsidRDefault="009931AF" w:rsidP="009931AF">
      <w:pPr>
        <w:rPr>
          <w:b/>
          <w:i/>
          <w:sz w:val="12"/>
          <w:szCs w:val="12"/>
        </w:rPr>
      </w:pPr>
    </w:p>
    <w:p w:rsidR="009931AF" w:rsidRPr="00A77C7C" w:rsidRDefault="009931AF" w:rsidP="009931AF">
      <w:pPr>
        <w:jc w:val="center"/>
        <w:rPr>
          <w:b/>
          <w:i/>
          <w:sz w:val="28"/>
          <w:szCs w:val="28"/>
        </w:rPr>
      </w:pPr>
      <w:r w:rsidRPr="00A77C7C"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9931AF" w:rsidRPr="00A77C7C" w:rsidRDefault="009931AF" w:rsidP="009931AF">
      <w:pPr>
        <w:jc w:val="center"/>
        <w:rPr>
          <w:b/>
          <w:sz w:val="10"/>
          <w:szCs w:val="10"/>
        </w:rPr>
      </w:pPr>
      <w:r w:rsidRPr="00A77C7C">
        <w:rPr>
          <w:b/>
          <w:i/>
          <w:sz w:val="28"/>
          <w:szCs w:val="28"/>
        </w:rPr>
        <w:t>по местам совершения ДТП</w:t>
      </w:r>
    </w:p>
    <w:p w:rsidR="009931AF" w:rsidRDefault="009931AF" w:rsidP="009931AF">
      <w:pPr>
        <w:jc w:val="center"/>
        <w:rPr>
          <w:b/>
          <w:sz w:val="10"/>
          <w:szCs w:val="10"/>
        </w:rPr>
      </w:pPr>
    </w:p>
    <w:p w:rsidR="009931AF" w:rsidRDefault="009931AF" w:rsidP="009931AF">
      <w:pPr>
        <w:jc w:val="center"/>
      </w:pPr>
      <w:r>
        <w:rPr>
          <w:noProof/>
        </w:rPr>
        <w:drawing>
          <wp:inline distT="0" distB="0" distL="0" distR="0">
            <wp:extent cx="2957830" cy="135953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t xml:space="preserve">   </w:t>
      </w:r>
    </w:p>
    <w:p w:rsidR="009931AF" w:rsidRPr="00887073" w:rsidRDefault="009931AF" w:rsidP="009931AF">
      <w:pPr>
        <w:jc w:val="center"/>
        <w:rPr>
          <w:b/>
          <w:sz w:val="12"/>
          <w:szCs w:val="12"/>
        </w:rPr>
      </w:pPr>
    </w:p>
    <w:p w:rsidR="009931AF" w:rsidRDefault="009931AF" w:rsidP="009931A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35953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544445" cy="132016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931AF" w:rsidRPr="0023156B" w:rsidRDefault="009931AF" w:rsidP="009931AF">
      <w:pPr>
        <w:spacing w:line="360" w:lineRule="auto"/>
        <w:jc w:val="both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42</w:t>
      </w:r>
      <w:r w:rsidRPr="005E6AB5">
        <w:rPr>
          <w:sz w:val="28"/>
          <w:szCs w:val="28"/>
        </w:rPr>
        <w:t xml:space="preserve">%) ДТП произошло на проезжей части в загородной зоне, </w:t>
      </w:r>
      <w:r>
        <w:rPr>
          <w:sz w:val="28"/>
          <w:szCs w:val="28"/>
        </w:rPr>
        <w:t>1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Pr="005E6AB5">
        <w:rPr>
          <w:sz w:val="28"/>
          <w:szCs w:val="28"/>
        </w:rPr>
        <w:t xml:space="preserve">%) погиб, </w:t>
      </w:r>
      <w:r>
        <w:rPr>
          <w:sz w:val="28"/>
          <w:szCs w:val="28"/>
        </w:rPr>
        <w:t>20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47</w:t>
      </w:r>
      <w:r w:rsidRPr="005E6AB5">
        <w:rPr>
          <w:sz w:val="28"/>
          <w:szCs w:val="28"/>
        </w:rPr>
        <w:t xml:space="preserve">%) получили ранения;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49</w:t>
      </w:r>
      <w:r w:rsidRPr="005E6AB5">
        <w:rPr>
          <w:sz w:val="28"/>
          <w:szCs w:val="28"/>
        </w:rPr>
        <w:t xml:space="preserve">%) ДТП зарегистрировано в городской черте, </w:t>
      </w:r>
      <w:r>
        <w:rPr>
          <w:sz w:val="28"/>
          <w:szCs w:val="28"/>
        </w:rPr>
        <w:t>2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67</w:t>
      </w:r>
      <w:r w:rsidRPr="005E6AB5">
        <w:rPr>
          <w:sz w:val="28"/>
          <w:szCs w:val="28"/>
        </w:rPr>
        <w:t>%) погиб</w:t>
      </w:r>
      <w:r>
        <w:rPr>
          <w:sz w:val="28"/>
          <w:szCs w:val="28"/>
        </w:rPr>
        <w:t>ли</w:t>
      </w:r>
      <w:r w:rsidRPr="005E6AB5">
        <w:rPr>
          <w:sz w:val="28"/>
          <w:szCs w:val="28"/>
        </w:rPr>
        <w:t xml:space="preserve">,              </w:t>
      </w:r>
      <w:r>
        <w:rPr>
          <w:sz w:val="28"/>
          <w:szCs w:val="28"/>
        </w:rPr>
        <w:t>19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44</w:t>
      </w:r>
      <w:r w:rsidRPr="005E6AB5">
        <w:rPr>
          <w:sz w:val="28"/>
          <w:szCs w:val="28"/>
        </w:rPr>
        <w:t>%) получил</w:t>
      </w:r>
      <w:r>
        <w:rPr>
          <w:sz w:val="28"/>
          <w:szCs w:val="28"/>
        </w:rPr>
        <w:t>и</w:t>
      </w:r>
      <w:r w:rsidRPr="005E6AB5">
        <w:rPr>
          <w:sz w:val="28"/>
          <w:szCs w:val="28"/>
        </w:rPr>
        <w:t xml:space="preserve"> ранения;</w:t>
      </w:r>
    </w:p>
    <w:p w:rsidR="009931AF" w:rsidRPr="00E72A4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5E6AB5">
        <w:rPr>
          <w:sz w:val="28"/>
          <w:szCs w:val="28"/>
        </w:rPr>
        <w:t xml:space="preserve">%) ДТП - в зоне действия пешеходных переходов, </w:t>
      </w:r>
      <w:r>
        <w:rPr>
          <w:sz w:val="28"/>
          <w:szCs w:val="28"/>
        </w:rPr>
        <w:t>4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5E6AB5">
        <w:rPr>
          <w:sz w:val="28"/>
          <w:szCs w:val="28"/>
        </w:rPr>
        <w:t xml:space="preserve">%) получили ранения. </w:t>
      </w:r>
    </w:p>
    <w:p w:rsidR="009931AF" w:rsidRPr="00654F03" w:rsidRDefault="009931AF" w:rsidP="000353DC">
      <w:pPr>
        <w:spacing w:line="276" w:lineRule="auto"/>
        <w:jc w:val="center"/>
        <w:rPr>
          <w:sz w:val="28"/>
        </w:rPr>
      </w:pPr>
      <w:r>
        <w:rPr>
          <w:b/>
          <w:i/>
          <w:sz w:val="28"/>
          <w:szCs w:val="28"/>
        </w:rPr>
        <w:t>Анализ ДТП, произошедших</w:t>
      </w:r>
      <w:r w:rsidRPr="00654F03">
        <w:rPr>
          <w:b/>
          <w:i/>
          <w:sz w:val="28"/>
          <w:szCs w:val="28"/>
        </w:rPr>
        <w:t xml:space="preserve"> по вине детей</w:t>
      </w:r>
    </w:p>
    <w:p w:rsidR="009931AF" w:rsidRDefault="009931AF" w:rsidP="000353DC">
      <w:pPr>
        <w:spacing w:line="276" w:lineRule="auto"/>
        <w:ind w:firstLine="709"/>
        <w:jc w:val="both"/>
      </w:pPr>
      <w:r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 в 4 ДТП (АППГ – 8, -50%), что составляет 9% от общего количества дорожных аварий, в результате которых 4 ребенка получили ранения (АППГ – 8, -50%). Все нарушения ПДД связаны с переходом детьми проезжей части в неустановленном месте.</w:t>
      </w:r>
    </w:p>
    <w:p w:rsidR="009931AF" w:rsidRDefault="009931AF" w:rsidP="009931AF">
      <w:pPr>
        <w:spacing w:line="360" w:lineRule="auto"/>
        <w:jc w:val="center"/>
        <w:rPr>
          <w:sz w:val="8"/>
          <w:szCs w:val="8"/>
        </w:rPr>
      </w:pPr>
      <w:r>
        <w:t xml:space="preserve">          </w:t>
      </w:r>
    </w:p>
    <w:p w:rsidR="009931AF" w:rsidRPr="0023156B" w:rsidRDefault="009931AF" w:rsidP="009931AF">
      <w:pPr>
        <w:spacing w:line="360" w:lineRule="auto"/>
        <w:ind w:firstLine="709"/>
        <w:rPr>
          <w:sz w:val="12"/>
          <w:szCs w:val="12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413D57">
        <w:rPr>
          <w:b/>
          <w:i/>
          <w:sz w:val="28"/>
          <w:szCs w:val="28"/>
        </w:rPr>
        <w:t>ДТП по вине водителей транспортных средств</w:t>
      </w:r>
    </w:p>
    <w:p w:rsidR="000353DC" w:rsidRPr="00413D57" w:rsidRDefault="000353DC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Default="009931AF" w:rsidP="000353DC">
      <w:pPr>
        <w:spacing w:line="276" w:lineRule="auto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 xml:space="preserve">Виновность со стороны водителей транспортных средств прослеживается в </w:t>
      </w:r>
      <w:r>
        <w:rPr>
          <w:color w:val="000000"/>
          <w:sz w:val="28"/>
        </w:rPr>
        <w:t xml:space="preserve">42 </w:t>
      </w:r>
      <w:r w:rsidRPr="007A500A">
        <w:rPr>
          <w:color w:val="000000"/>
          <w:sz w:val="28"/>
        </w:rPr>
        <w:t xml:space="preserve">ДТП (АППГ – </w:t>
      </w:r>
      <w:r>
        <w:rPr>
          <w:color w:val="000000"/>
          <w:sz w:val="28"/>
        </w:rPr>
        <w:t>61, -31%</w:t>
      </w:r>
      <w:r w:rsidRPr="007A500A">
        <w:rPr>
          <w:color w:val="000000"/>
          <w:sz w:val="28"/>
        </w:rPr>
        <w:t xml:space="preserve">), в результате которых </w:t>
      </w:r>
      <w:r>
        <w:rPr>
          <w:color w:val="000000"/>
          <w:sz w:val="28"/>
        </w:rPr>
        <w:t>3</w:t>
      </w:r>
      <w:r w:rsidRPr="007A50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ребенка</w:t>
      </w:r>
      <w:r w:rsidRPr="007A500A">
        <w:rPr>
          <w:color w:val="000000"/>
          <w:sz w:val="28"/>
        </w:rPr>
        <w:t xml:space="preserve"> погиб</w:t>
      </w:r>
      <w:r>
        <w:rPr>
          <w:color w:val="000000"/>
          <w:sz w:val="28"/>
        </w:rPr>
        <w:t>ли</w:t>
      </w:r>
      <w:r w:rsidRPr="007A500A">
        <w:rPr>
          <w:color w:val="000000"/>
          <w:sz w:val="28"/>
        </w:rPr>
        <w:t xml:space="preserve"> (АППГ – </w:t>
      </w:r>
      <w:r>
        <w:rPr>
          <w:color w:val="000000"/>
          <w:sz w:val="28"/>
        </w:rPr>
        <w:t>4, -25%</w:t>
      </w:r>
      <w:r w:rsidRPr="007A500A">
        <w:rPr>
          <w:color w:val="000000"/>
          <w:sz w:val="28"/>
        </w:rPr>
        <w:t xml:space="preserve">) и </w:t>
      </w:r>
      <w:r>
        <w:rPr>
          <w:color w:val="000000"/>
          <w:sz w:val="28"/>
        </w:rPr>
        <w:t>42</w:t>
      </w:r>
      <w:r w:rsidRPr="007A500A">
        <w:rPr>
          <w:color w:val="000000"/>
          <w:sz w:val="28"/>
        </w:rPr>
        <w:t xml:space="preserve"> получили различные травмы (АППГ </w:t>
      </w:r>
      <w:r>
        <w:rPr>
          <w:color w:val="000000"/>
          <w:sz w:val="28"/>
        </w:rPr>
        <w:t>–</w:t>
      </w:r>
      <w:r w:rsidRPr="007A50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64, -34</w:t>
      </w:r>
      <w:r w:rsidRPr="007A500A">
        <w:rPr>
          <w:color w:val="000000"/>
          <w:sz w:val="28"/>
        </w:rPr>
        <w:t>%).</w:t>
      </w:r>
    </w:p>
    <w:p w:rsidR="009931AF" w:rsidRPr="007A500A" w:rsidRDefault="009931AF" w:rsidP="009931AF">
      <w:pPr>
        <w:spacing w:line="360" w:lineRule="auto"/>
        <w:ind w:firstLine="709"/>
        <w:jc w:val="both"/>
        <w:rPr>
          <w:color w:val="000000"/>
          <w:sz w:val="28"/>
        </w:rPr>
      </w:pPr>
    </w:p>
    <w:p w:rsidR="009931AF" w:rsidRDefault="009931AF" w:rsidP="00993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5979160" cy="182054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Основными причинами таких ДТП являются: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19</w:t>
      </w:r>
      <w:r w:rsidRPr="000353DC">
        <w:rPr>
          <w:bCs/>
          <w:sz w:val="28"/>
          <w:szCs w:val="28"/>
        </w:rPr>
        <w:t xml:space="preserve"> нар</w:t>
      </w:r>
      <w:r w:rsidRPr="000353DC">
        <w:rPr>
          <w:sz w:val="28"/>
          <w:szCs w:val="28"/>
        </w:rPr>
        <w:t>ушений;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 xml:space="preserve">2. нарушения правил проезда пешеходных переходов – 4 нарушения; 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3. нарушения установленного скоростного режима – 11 нарушений;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4. выезд на полосу встречного движения – 2 нарушения;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5. управление транспортными средствами в состоянии опьянения –                        5 нарушений.</w:t>
      </w:r>
    </w:p>
    <w:p w:rsidR="009931AF" w:rsidRPr="000353DC" w:rsidRDefault="009931AF" w:rsidP="000353DC">
      <w:pPr>
        <w:spacing w:line="360" w:lineRule="auto"/>
        <w:ind w:right="-55"/>
        <w:jc w:val="both"/>
        <w:rPr>
          <w:sz w:val="16"/>
          <w:szCs w:val="16"/>
        </w:rPr>
      </w:pPr>
      <w:r>
        <w:t xml:space="preserve">              </w:t>
      </w:r>
      <w:r w:rsidR="000353DC">
        <w:t xml:space="preserve"> </w:t>
      </w:r>
    </w:p>
    <w:p w:rsidR="009931AF" w:rsidRDefault="009931AF" w:rsidP="009931AF">
      <w:pPr>
        <w:spacing w:line="360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9931AF" w:rsidRDefault="009931AF" w:rsidP="009931AF">
      <w:pPr>
        <w:spacing w:line="360" w:lineRule="auto"/>
        <w:ind w:right="1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линии пропаганды БДД за 2 месяца 2019 года</w:t>
      </w:r>
    </w:p>
    <w:p w:rsidR="009931AF" w:rsidRDefault="009931AF" w:rsidP="009931AF">
      <w:pPr>
        <w:spacing w:line="360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9931AF" w:rsidRDefault="009931AF" w:rsidP="009931AF">
      <w:pPr>
        <w:spacing w:line="360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месяца 2019 года опубликовано (вышло в эфир) более 5,6 тыс. тематических материалов в федеральных, региональных и местных средствах массовой информации, из них 601 статья выпущена в печатных СМИ, 660 информаций озвучено на радиостанциях, 715 сюжетов показано на телевидении, 3693 материала размещено в сети </w:t>
      </w:r>
      <w:r>
        <w:rPr>
          <w:sz w:val="28"/>
          <w:szCs w:val="28"/>
        </w:rPr>
        <w:lastRenderedPageBreak/>
        <w:t>интернет, в том числе в информационных агентствах и в информационно-телекоммуникационной сети (интернет) на структурных компонентах АПК «Официальный сайт МВД России» (интернет-сайты ГУ МВД России по Московской области и Подмосковной Госавтоинспекции).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Руководящим составом подразделений Госавтоинспекции проведен</w:t>
      </w:r>
      <w:r w:rsidR="000353DC">
        <w:rPr>
          <w:sz w:val="28"/>
          <w:szCs w:val="28"/>
        </w:rPr>
        <w:t xml:space="preserve">о                    </w:t>
      </w:r>
      <w:r>
        <w:rPr>
          <w:sz w:val="28"/>
          <w:szCs w:val="28"/>
        </w:rPr>
        <w:t xml:space="preserve">87  брифингов, пресс-конференций, «круглых столов» по тематике БДД. 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Личным составом проведено 1854 профилактические беседы с воспитанниками дошкольных образовательных организаций, 1909 - с учащимися учреждений общего, 114 – с учащимися учреждений дополнительного образования, 157 - со студентами средних и высших учебных заведений.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797 массовых информационно-пропагандистских мероприятий по профилактике дорожно-транспортных происшествий и снижению тяжести их последствий, из них 482 по предупреждению детского дорожно-транспортного травматизма.</w:t>
      </w:r>
    </w:p>
    <w:p w:rsidR="000353DC" w:rsidRDefault="009931AF" w:rsidP="009931AF">
      <w:pPr>
        <w:spacing w:line="360" w:lineRule="auto"/>
        <w:ind w:right="-55"/>
        <w:jc w:val="both"/>
      </w:pPr>
      <w:r>
        <w:t xml:space="preserve">                                                </w:t>
      </w:r>
    </w:p>
    <w:p w:rsidR="000353DC" w:rsidRDefault="000353DC" w:rsidP="009931AF">
      <w:pPr>
        <w:spacing w:line="360" w:lineRule="auto"/>
        <w:ind w:right="-55"/>
        <w:jc w:val="both"/>
      </w:pPr>
    </w:p>
    <w:p w:rsidR="009931AF" w:rsidRDefault="000353DC" w:rsidP="009931AF">
      <w:pPr>
        <w:spacing w:line="360" w:lineRule="auto"/>
        <w:ind w:right="-55"/>
        <w:jc w:val="both"/>
      </w:pPr>
      <w:r>
        <w:t xml:space="preserve">                                                         </w:t>
      </w:r>
      <w:r w:rsidR="009931AF"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300D8E" w:rsidRPr="009F7DDC" w:rsidRDefault="00300D8E" w:rsidP="008E0306">
      <w:pPr>
        <w:spacing w:line="360" w:lineRule="auto"/>
        <w:rPr>
          <w:sz w:val="28"/>
          <w:szCs w:val="28"/>
        </w:rPr>
      </w:pPr>
    </w:p>
    <w:sectPr w:rsidR="00300D8E" w:rsidRPr="009F7DDC" w:rsidSect="006A3881">
      <w:headerReference w:type="default" r:id="rId32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EF" w:rsidRDefault="00091CEF">
      <w:r>
        <w:separator/>
      </w:r>
    </w:p>
  </w:endnote>
  <w:endnote w:type="continuationSeparator" w:id="0">
    <w:p w:rsidR="00091CEF" w:rsidRDefault="000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EF" w:rsidRDefault="00091CEF">
      <w:r>
        <w:separator/>
      </w:r>
    </w:p>
  </w:footnote>
  <w:footnote w:type="continuationSeparator" w:id="0">
    <w:p w:rsidR="00091CEF" w:rsidRDefault="0009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F" w:rsidRDefault="00B93C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034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415DE"/>
    <w:multiLevelType w:val="hybridMultilevel"/>
    <w:tmpl w:val="4DD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3DC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1CEF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6116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C3034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0E7E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1AF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180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1F5B"/>
    <w:rsid w:val="00B62C36"/>
    <w:rsid w:val="00B66B33"/>
    <w:rsid w:val="00B762E6"/>
    <w:rsid w:val="00B815FB"/>
    <w:rsid w:val="00B81E04"/>
    <w:rsid w:val="00B8585C"/>
    <w:rsid w:val="00B86D1C"/>
    <w:rsid w:val="00B90AC4"/>
    <w:rsid w:val="00B93CDC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A6A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16E6C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4D7DC"/>
  <w15:docId w15:val="{58FD1691-4DC8-4E7A-B83C-4EF2E7B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5151515151515163"/>
          <c:w val="0.37979094076655051"/>
          <c:h val="0.37229437229437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6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AF3-4569-BC7A-E7C51F0BB308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AF3-4569-BC7A-E7C51F0BB308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AF3-4569-BC7A-E7C51F0BB308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AF3-4569-BC7A-E7C51F0BB30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AF3-4569-BC7A-E7C51F0BB308}"/>
              </c:ext>
            </c:extLst>
          </c:dPt>
          <c:dPt>
            <c:idx val="6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AF3-4569-BC7A-E7C51F0BB308}"/>
              </c:ext>
            </c:extLst>
          </c:dPt>
          <c:dPt>
            <c:idx val="7"/>
            <c:bubble3D val="0"/>
            <c:spPr>
              <a:solidFill>
                <a:srgbClr val="FF6600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AF3-4569-BC7A-E7C51F0BB308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F3-4569-BC7A-E7C51F0BB308}"/>
                </c:ext>
              </c:extLst>
            </c:dLbl>
            <c:dLbl>
              <c:idx val="1"/>
              <c:layout>
                <c:manualLayout>
                  <c:x val="5.243163743847206E-2"/>
                  <c:y val="-6.824447579357321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F3-4569-BC7A-E7C51F0BB308}"/>
                </c:ext>
              </c:extLst>
            </c:dLbl>
            <c:dLbl>
              <c:idx val="2"/>
              <c:layout>
                <c:manualLayout>
                  <c:x val="8.3488450451839932E-2"/>
                  <c:y val="6.0665845524414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F3-4569-BC7A-E7C51F0BB308}"/>
                </c:ext>
              </c:extLst>
            </c:dLbl>
            <c:dLbl>
              <c:idx val="3"/>
              <c:layout>
                <c:manualLayout>
                  <c:x val="3.5314447366751836E-2"/>
                  <c:y val="0.1657611755571851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F3-4569-BC7A-E7C51F0BB308}"/>
                </c:ext>
              </c:extLst>
            </c:dLbl>
            <c:dLbl>
              <c:idx val="4"/>
              <c:layout>
                <c:manualLayout>
                  <c:x val="-2.4151593979112332E-2"/>
                  <c:y val="0.12514271444401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F3-4569-BC7A-E7C51F0BB308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76190476190476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F3-4569-BC7A-E7C51F0BB308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3766233766233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F3-4569-BC7A-E7C51F0BB308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28571428571428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F3-4569-BC7A-E7C51F0BB308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670995670995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AF3-4569-BC7A-E7C51F0BB308}"/>
                </c:ext>
              </c:extLst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 algn="l"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Наезд на пешехода (14 ДТП, 33%)</c:v>
                </c:pt>
                <c:pt idx="1">
                  <c:v>Столкновение (26 ДТП, 61%)</c:v>
                </c:pt>
                <c:pt idx="2">
                  <c:v>Опрокидывание (1 ДТП, 2%)</c:v>
                </c:pt>
                <c:pt idx="3">
                  <c:v>Наезд на препятствие (1 ДТП, 2%)</c:v>
                </c:pt>
                <c:pt idx="4">
                  <c:v>Прочие виды (1 ДТП, 2%)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26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AF3-4569-BC7A-E7C51F0BB308}"/>
            </c:ext>
          </c:extLst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76623376623376649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6A0-4F22-9B29-5CD90294A17C}"/>
              </c:ext>
            </c:extLst>
          </c:dPt>
          <c:dLbls>
            <c:numFmt formatCode="0%" sourceLinked="0"/>
            <c:spPr>
              <a:noFill/>
              <a:ln w="25305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17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A0-4F22-9B29-5CD90294A1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5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273972602739745"/>
          <c:y val="7.0921985815602853E-3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91780821917734E-2"/>
          <c:y val="3.5460992907801435E-2"/>
          <c:w val="0.45547945205479451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856-443E-B66B-FF747D124A04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856-443E-B66B-FF747D124A04}"/>
              </c:ext>
            </c:extLst>
          </c:dPt>
          <c:dLbls>
            <c:dLbl>
              <c:idx val="0"/>
              <c:layout>
                <c:manualLayout>
                  <c:x val="-0.13178693575837874"/>
                  <c:y val="0.106382978723404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56-443E-B66B-FF747D124A04}"/>
                </c:ext>
              </c:extLst>
            </c:dLbl>
            <c:dLbl>
              <c:idx val="2"/>
              <c:layout>
                <c:manualLayout>
                  <c:x val="0.13356164383561642"/>
                  <c:y val="-9.06792756363362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56-443E-B66B-FF747D124A04}"/>
                </c:ext>
              </c:extLst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5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56-443E-B66B-FF747D124A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54109589041095918"/>
          <c:y val="0.27659574468085107"/>
          <c:w val="0.41095890410958913"/>
          <c:h val="0.6808510638297874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83516483516486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934065934065936E-2"/>
          <c:y val="3.5211267605633818E-2"/>
          <c:w val="0.49084249084249093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0CE-4EBC-9593-51070BD1F7F0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0CE-4EBC-9593-51070BD1F7F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CE-4EBC-9593-51070BD1F7F0}"/>
                </c:ext>
              </c:extLst>
            </c:dLbl>
            <c:dLbl>
              <c:idx val="1"/>
              <c:layout>
                <c:manualLayout>
                  <c:x val="-0.18468450041243756"/>
                  <c:y val="0.12915410182988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E-4EBC-9593-51070BD1F7F0}"/>
                </c:ext>
              </c:extLst>
            </c:dLbl>
            <c:dLbl>
              <c:idx val="2"/>
              <c:layout>
                <c:manualLayout>
                  <c:x val="0.12087912087912089"/>
                  <c:y val="-0.250508145041035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CE-4EBC-9593-51070BD1F7F0}"/>
                </c:ext>
              </c:extLst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CE-4EBC-9593-51070BD1F7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8E8-496C-ADC8-BB6D8F99107B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8E8-496C-ADC8-BB6D8F99107B}"/>
              </c:ext>
            </c:extLst>
          </c:dPt>
          <c:dLbls>
            <c:dLbl>
              <c:idx val="0"/>
              <c:layout>
                <c:manualLayout>
                  <c:x val="-0.14982264020668332"/>
                  <c:y val="0.106382978723404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E8-496C-ADC8-BB6D8F99107B}"/>
                </c:ext>
              </c:extLst>
            </c:dLbl>
            <c:dLbl>
              <c:idx val="1"/>
              <c:layout>
                <c:manualLayout>
                  <c:x val="-0.18314770238425404"/>
                  <c:y val="-0.228387573316306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E8-496C-ADC8-BB6D8F99107B}"/>
                </c:ext>
              </c:extLst>
            </c:dLbl>
            <c:dLbl>
              <c:idx val="2"/>
              <c:layout>
                <c:manualLayout>
                  <c:x val="6.5891472868217074E-2"/>
                  <c:y val="3.41479866236416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E8-496C-ADC8-BB6D8F99107B}"/>
                </c:ext>
              </c:extLst>
            </c:dLbl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E8-496C-ADC8-BB6D8F9910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49E-2"/>
          <c:w val="0.99146757679180852"/>
          <c:h val="0.8068181818181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99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4C8-4CD8-8480-753CA3A6F932}"/>
              </c:ext>
            </c:extLst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4C8-4CD8-8480-753CA3A6F932}"/>
              </c:ext>
            </c:extLst>
          </c:dPt>
          <c:dLbls>
            <c:dLbl>
              <c:idx val="0"/>
              <c:layout>
                <c:manualLayout>
                  <c:x val="5.7221350269397557E-2"/>
                  <c:y val="-4.28644500290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C8-4CD8-8480-753CA3A6F932}"/>
                </c:ext>
              </c:extLst>
            </c:dLbl>
            <c:dLbl>
              <c:idx val="1"/>
              <c:layout>
                <c:manualLayout>
                  <c:x val="5.2892156869827657E-2"/>
                  <c:y val="-4.230698619343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C8-4CD8-8480-753CA3A6F932}"/>
                </c:ext>
              </c:extLst>
            </c:dLbl>
            <c:dLbl>
              <c:idx val="2"/>
              <c:layout>
                <c:manualLayout>
                  <c:x val="4.6856302439377828E-2"/>
                  <c:y val="-1.501282295566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C8-4CD8-8480-753CA3A6F932}"/>
                </c:ext>
              </c:extLst>
            </c:dLbl>
            <c:dLbl>
              <c:idx val="3"/>
              <c:layout>
                <c:manualLayout>
                  <c:x val="4.066846790784983E-2"/>
                  <c:y val="-7.1379021335544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C8-4CD8-8480-753CA3A6F932}"/>
                </c:ext>
              </c:extLst>
            </c:dLbl>
            <c:dLbl>
              <c:idx val="4"/>
              <c:layout>
                <c:manualLayout>
                  <c:x val="5.526240927813706E-2"/>
                  <c:y val="-1.567576718868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C8-4CD8-8480-753CA3A6F932}"/>
                </c:ext>
              </c:extLst>
            </c:dLbl>
            <c:dLbl>
              <c:idx val="5"/>
              <c:layout>
                <c:manualLayout>
                  <c:x val="5.5900689702403208E-2"/>
                  <c:y val="-6.9795514853754435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C8-4CD8-8480-753CA3A6F932}"/>
                </c:ext>
              </c:extLst>
            </c:dLbl>
            <c:dLbl>
              <c:idx val="6"/>
              <c:layout>
                <c:manualLayout>
                  <c:x val="3.2951792567407698E-2"/>
                  <c:y val="-3.5509673864344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C8-4CD8-8480-753CA3A6F932}"/>
                </c:ext>
              </c:extLst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  <c:pt idx="4">
                  <c:v>9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C8-4CD8-8480-753CA3A6F9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537664"/>
        <c:axId val="100143488"/>
        <c:axId val="0"/>
      </c:bar3DChart>
      <c:catAx>
        <c:axId val="995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4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143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9537664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532833020637923E-2"/>
          <c:y val="4.7368421052631643E-2"/>
          <c:w val="0.92870544090056284"/>
          <c:h val="0.77368421052631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F88-409F-9CFF-2863C98BD8A2}"/>
              </c:ext>
            </c:extLst>
          </c:dPt>
          <c:dLbls>
            <c:dLbl>
              <c:idx val="0"/>
              <c:layout>
                <c:manualLayout>
                  <c:x val="3.0580688809102304E-2"/>
                  <c:y val="-8.5355164260190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88-409F-9CFF-2863C98BD8A2}"/>
                </c:ext>
              </c:extLst>
            </c:dLbl>
            <c:dLbl>
              <c:idx val="1"/>
              <c:layout>
                <c:manualLayout>
                  <c:x val="3.1539651286771699E-2"/>
                  <c:y val="-8.512500988284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88-409F-9CFF-2863C98BD8A2}"/>
                </c:ext>
              </c:extLst>
            </c:dLbl>
            <c:dLbl>
              <c:idx val="2"/>
              <c:layout>
                <c:manualLayout>
                  <c:x val="2.6870289715029312E-2"/>
                  <c:y val="-7.4368539716030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88-409F-9CFF-2863C98BD8A2}"/>
                </c:ext>
              </c:extLst>
            </c:dLbl>
            <c:dLbl>
              <c:idx val="3"/>
              <c:layout>
                <c:manualLayout>
                  <c:x val="3.1581791182686135E-2"/>
                  <c:y val="-8.512500988284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88-409F-9CFF-2863C98BD8A2}"/>
                </c:ext>
              </c:extLst>
            </c:dLbl>
            <c:dLbl>
              <c:idx val="4"/>
              <c:layout>
                <c:manualLayout>
                  <c:x val="3.2540947434583502E-2"/>
                  <c:y val="-9.027309058891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88-409F-9CFF-2863C98BD8A2}"/>
                </c:ext>
              </c:extLst>
            </c:dLbl>
            <c:dLbl>
              <c:idx val="5"/>
              <c:layout>
                <c:manualLayout>
                  <c:x val="4.8509290775292507E-2"/>
                  <c:y val="-9.004293621156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88-409F-9CFF-2863C98BD8A2}"/>
                </c:ext>
              </c:extLst>
            </c:dLbl>
            <c:dLbl>
              <c:idx val="6"/>
              <c:layout>
                <c:manualLayout>
                  <c:x val="5.6973137458709251E-2"/>
                  <c:y val="-9.5996557238335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88-409F-9CFF-2863C98BD8A2}"/>
                </c:ext>
              </c:extLst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88-409F-9CFF-2863C98BD8A2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9-4F88-409F-9CFF-2863C98BD8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596352"/>
        <c:axId val="100680064"/>
        <c:axId val="0"/>
      </c:bar3DChart>
      <c:catAx>
        <c:axId val="1005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8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680064"/>
        <c:scaling>
          <c:orientation val="minMax"/>
          <c:max val="1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96352"/>
        <c:crosses val="autoZero"/>
        <c:crossBetween val="between"/>
        <c:majorUnit val="2"/>
      </c:valAx>
      <c:spPr>
        <a:noFill/>
        <a:ln w="25342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0223880597014929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44776119402972E-2"/>
          <c:y val="3.2051282051282055E-2"/>
          <c:w val="0.54850746268656714"/>
          <c:h val="0.942307692307692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910-4A95-9099-92BA7DC42D55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910-4A95-9099-92BA7DC42D55}"/>
              </c:ext>
            </c:extLst>
          </c:dPt>
          <c:dLbls>
            <c:dLbl>
              <c:idx val="0"/>
              <c:layout>
                <c:manualLayout>
                  <c:x val="-0.1680739956021037"/>
                  <c:y val="-0.309306895874060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10-4A95-9099-92BA7DC42D55}"/>
                </c:ext>
              </c:extLst>
            </c:dLbl>
            <c:dLbl>
              <c:idx val="1"/>
              <c:layout>
                <c:manualLayout>
                  <c:x val="8.2089552238805943E-2"/>
                  <c:y val="2.67719385947145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10-4A95-9099-92BA7DC42D55}"/>
                </c:ext>
              </c:extLst>
            </c:dLbl>
            <c:dLbl>
              <c:idx val="2"/>
              <c:layout>
                <c:manualLayout>
                  <c:x val="0.11442729292023308"/>
                  <c:y val="0.115384615384615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10-4A95-9099-92BA7DC42D55}"/>
                </c:ext>
              </c:extLst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10-4A95-9099-92BA7DC42D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67164179104477684"/>
          <c:y val="0.32692307692307715"/>
          <c:w val="0.31343283582089576"/>
          <c:h val="0.5897435897435897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930555555555591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38888888888888E-2"/>
          <c:y val="4.4871794871794886E-2"/>
          <c:w val="0.5"/>
          <c:h val="0.92307692307692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2DD-43BC-97B6-F8DEE6AA8257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2DD-43BC-97B6-F8DEE6AA8257}"/>
              </c:ext>
            </c:extLst>
          </c:dPt>
          <c:dLbls>
            <c:dLbl>
              <c:idx val="0"/>
              <c:layout>
                <c:manualLayout>
                  <c:x val="3.5053829261275037E-3"/>
                  <c:y val="-0.283148387908054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DD-43BC-97B6-F8DEE6AA825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DD-43BC-97B6-F8DEE6AA82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DD-43BC-97B6-F8DEE6AA8257}"/>
                </c:ext>
              </c:extLst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DD-43BC-97B6-F8DEE6AA82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911764705882382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735294117647058E-2"/>
          <c:y val="3.6363636363636362E-2"/>
          <c:w val="0.56985294117647067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774-4FED-92BE-999631550E13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774-4FED-92BE-999631550E13}"/>
              </c:ext>
            </c:extLst>
          </c:dPt>
          <c:dLbls>
            <c:dLbl>
              <c:idx val="0"/>
              <c:layout>
                <c:manualLayout>
                  <c:x val="-0.19906696645146843"/>
                  <c:y val="-0.3104202857680273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74-4FED-92BE-999631550E13}"/>
                </c:ext>
              </c:extLst>
            </c:dLbl>
            <c:dLbl>
              <c:idx val="1"/>
              <c:layout>
                <c:manualLayout>
                  <c:x val="9.1911764705882415E-2"/>
                  <c:y val="3.94357434052462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74-4FED-92BE-999631550E13}"/>
                </c:ext>
              </c:extLst>
            </c:dLbl>
            <c:dLbl>
              <c:idx val="2"/>
              <c:layout>
                <c:manualLayout>
                  <c:x val="0.13189077903803978"/>
                  <c:y val="0.169696969696969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74-4FED-92BE-999631550E13}"/>
                </c:ext>
              </c:extLst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74-4FED-92BE-999631550E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5215946843853813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60132890365453"/>
          <c:y val="0.31343283582089576"/>
          <c:w val="0.41860465116279083"/>
          <c:h val="0.373134328358208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9F7-4A5E-843B-8F771A4AA87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9F7-4A5E-843B-8F771A4AA877}"/>
              </c:ext>
            </c:extLst>
          </c:dPt>
          <c:dLbls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F7-4A5E-843B-8F771A4AA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62458471760797363"/>
          <c:y val="0.18656716417910457"/>
          <c:w val="0.34219269102990046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46"/>
          <c:y val="0"/>
        </c:manualLayout>
      </c:layout>
      <c:overlay val="0"/>
      <c:spPr>
        <a:noFill/>
        <a:ln w="252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310880829015496E-2"/>
          <c:y val="5.4187192118226632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868-4272-B4B6-C38168525AD5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868-4272-B4B6-C38168525AD5}"/>
              </c:ext>
            </c:extLst>
          </c:dPt>
          <c:dLbls>
            <c:dLbl>
              <c:idx val="1"/>
              <c:layout>
                <c:manualLayout>
                  <c:x val="0.14507772020725387"/>
                  <c:y val="0.100951777931789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8-4272-B4B6-C38168525AD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68-4272-B4B6-C38168525AD5}"/>
                </c:ext>
              </c:extLst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68-4272-B4B6-C38168525A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113989637305699"/>
          <c:y val="0.38916256157635487"/>
          <c:w val="0.38341968911917118"/>
          <c:h val="0.49753694581280805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825095057034228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50190114068518E-2"/>
          <c:y val="0.32089552238805985"/>
          <c:w val="0.46768060836501912"/>
          <c:h val="0.3656716417910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E8F-42BE-9EFE-4654262072F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E8F-42BE-9EFE-4654262072F1}"/>
              </c:ext>
            </c:extLst>
          </c:dPt>
          <c:dLbls>
            <c:dLbl>
              <c:idx val="0"/>
              <c:layout>
                <c:manualLayout>
                  <c:x val="1.6898136343663044E-3"/>
                  <c:y val="-1.74637739670536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8F-42BE-9EFE-4654262072F1}"/>
                </c:ext>
              </c:extLst>
            </c:dLbl>
            <c:dLbl>
              <c:idx val="1"/>
              <c:layout>
                <c:manualLayout>
                  <c:x val="6.9108870896841312E-2"/>
                  <c:y val="-8.27203374902821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8F-42BE-9EFE-4654262072F1}"/>
                </c:ext>
              </c:extLst>
            </c:dLbl>
            <c:dLbl>
              <c:idx val="2"/>
              <c:layout>
                <c:manualLayout>
                  <c:x val="-4.5965633354034946E-2"/>
                  <c:y val="-0.100542827170549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8F-42BE-9EFE-4654262072F1}"/>
                </c:ext>
              </c:extLst>
            </c:dLbl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8F-42BE-9EFE-465426207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56273764258555181"/>
          <c:y val="0.18656716417910457"/>
          <c:w val="0.42205323193916361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1245136186770442"/>
          <c:y val="2.3255813953488372E-2"/>
        </c:manualLayout>
      </c:layout>
      <c:overlay val="0"/>
      <c:spPr>
        <a:noFill/>
        <a:ln w="25326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112840466927E-2"/>
          <c:y val="0.34108527131782967"/>
          <c:w val="0.42801556420233472"/>
          <c:h val="0.34108527131782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0F3-4E28-B095-B4BC70C1E3F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0F3-4E28-B095-B4BC70C1E3FB}"/>
              </c:ext>
            </c:extLst>
          </c:dPt>
          <c:dLbls>
            <c:dLbl>
              <c:idx val="0"/>
              <c:layout>
                <c:manualLayout>
                  <c:x val="-3.7324965938426054E-2"/>
                  <c:y val="9.52998387534187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F3-4E28-B095-B4BC70C1E3FB}"/>
                </c:ext>
              </c:extLst>
            </c:dLbl>
            <c:dLbl>
              <c:idx val="1"/>
              <c:layout>
                <c:manualLayout>
                  <c:x val="5.1477107683876179E-2"/>
                  <c:y val="-0.154663190004702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F3-4E28-B095-B4BC70C1E3F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F3-4E28-B095-B4BC70C1E3FB}"/>
                </c:ext>
              </c:extLst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F3-4E28-B095-B4BC70C1E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0700389105058383"/>
          <c:y val="0.24806201550387599"/>
          <c:w val="0.39299610894941656"/>
          <c:h val="0.49612403100775215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6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55124821754381E-2"/>
                  <c:y val="-3.343835059173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08-4B2A-8ED0-C6DDE3129614}"/>
                </c:ext>
              </c:extLst>
            </c:dLbl>
            <c:dLbl>
              <c:idx val="1"/>
              <c:layout>
                <c:manualLayout>
                  <c:x val="1.4249083361713143E-2"/>
                  <c:y val="-2.974014634369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08-4B2A-8ED0-C6DDE3129614}"/>
                </c:ext>
              </c:extLst>
            </c:dLbl>
            <c:dLbl>
              <c:idx val="2"/>
              <c:layout>
                <c:manualLayout>
                  <c:x val="8.9810063604766985E-3"/>
                  <c:y val="-3.457165148499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08-4B2A-8ED0-C6DDE3129614}"/>
                </c:ext>
              </c:extLst>
            </c:dLbl>
            <c:dLbl>
              <c:idx val="3"/>
              <c:layout>
                <c:manualLayout>
                  <c:x val="1.8252509326929761E-2"/>
                  <c:y val="-3.5897652191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08-4B2A-8ED0-C6DDE3129614}"/>
                </c:ext>
              </c:extLst>
            </c:dLbl>
            <c:dLbl>
              <c:idx val="4"/>
              <c:layout>
                <c:manualLayout>
                  <c:x val="1.4746978306482438E-2"/>
                  <c:y val="-3.437950095791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08-4B2A-8ED0-C6DDE3129614}"/>
                </c:ext>
              </c:extLst>
            </c:dLbl>
            <c:dLbl>
              <c:idx val="5"/>
              <c:layout>
                <c:manualLayout>
                  <c:x val="0.1954146448848759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08-4B2A-8ED0-C6DDE3129614}"/>
                </c:ext>
              </c:extLst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08-4B2A-8ED0-C6DDE3129614}"/>
                </c:ext>
              </c:extLst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22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08-4B2A-8ED0-C6DDE31296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58617731392125E-2"/>
                  <c:y val="-4.0921307859779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08-4B2A-8ED0-C6DDE3129614}"/>
                </c:ext>
              </c:extLst>
            </c:dLbl>
            <c:dLbl>
              <c:idx val="1"/>
              <c:layout>
                <c:manualLayout>
                  <c:x val="2.7430631137438877E-2"/>
                  <c:y val="-1.7895984474399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08-4B2A-8ED0-C6DDE3129614}"/>
                </c:ext>
              </c:extLst>
            </c:dLbl>
            <c:dLbl>
              <c:idx val="2"/>
              <c:layout>
                <c:manualLayout>
                  <c:x val="1.7168823137242214E-2"/>
                  <c:y val="-2.424564084918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08-4B2A-8ED0-C6DDE3129614}"/>
                </c:ext>
              </c:extLst>
            </c:dLbl>
            <c:dLbl>
              <c:idx val="3"/>
              <c:layout>
                <c:manualLayout>
                  <c:x val="1.5278968249666666E-2"/>
                  <c:y val="3.4190371504199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08-4B2A-8ED0-C6DDE3129614}"/>
                </c:ext>
              </c:extLst>
            </c:dLbl>
            <c:dLbl>
              <c:idx val="4"/>
              <c:layout>
                <c:manualLayout>
                  <c:x val="2.13192861979489E-2"/>
                  <c:y val="-3.371704989077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08-4B2A-8ED0-C6DDE3129614}"/>
                </c:ext>
              </c:extLst>
            </c:dLbl>
            <c:dLbl>
              <c:idx val="5"/>
              <c:layout>
                <c:manualLayout>
                  <c:x val="0.103440910773111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08-4B2A-8ED0-C6DDE3129614}"/>
                </c:ext>
              </c:extLst>
            </c:dLbl>
            <c:dLbl>
              <c:idx val="6"/>
              <c:layout>
                <c:manualLayout>
                  <c:x val="0.17087073361032409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08-4B2A-8ED0-C6DDE3129614}"/>
                </c:ext>
              </c:extLst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19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808-4B2A-8ED0-C6DDE31296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038336"/>
        <c:axId val="100933632"/>
        <c:axId val="0"/>
      </c:bar3DChart>
      <c:catAx>
        <c:axId val="10103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3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33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1038336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076-499A-9626-5C62D6762D71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076-499A-9626-5C62D6762D71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76-499A-9626-5C62D6762D71}"/>
                </c:ext>
              </c:extLst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76-499A-9626-5C62D6762D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283582089552264"/>
          <c:y val="0"/>
        </c:manualLayout>
      </c:layout>
      <c:overlay val="0"/>
      <c:spPr>
        <a:noFill/>
        <a:ln w="253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626865671641784E-2"/>
          <c:y val="3.7593984962406013E-2"/>
          <c:w val="0.46641791044776132"/>
          <c:h val="0.939849624060150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252-42E8-9EA5-08F2F079DD4A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252-42E8-9EA5-08F2F079DD4A}"/>
              </c:ext>
            </c:extLst>
          </c:dPt>
          <c:dLbls>
            <c:dLbl>
              <c:idx val="1"/>
              <c:layout>
                <c:manualLayout>
                  <c:x val="0.11567164179104479"/>
                  <c:y val="0.114568993362419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52-42E8-9EA5-08F2F079DD4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52-42E8-9EA5-08F2F079DD4A}"/>
                </c:ext>
              </c:extLst>
            </c:dLbl>
            <c:numFmt formatCode="0%" sourceLinked="0"/>
            <c:spPr>
              <a:noFill/>
              <a:ln w="25320">
                <a:noFill/>
              </a:ln>
            </c:spPr>
            <c:txPr>
              <a:bodyPr/>
              <a:lstStyle/>
              <a:p>
                <a:pPr>
                  <a:defRPr sz="15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52-42E8-9EA5-08F2F079DD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188E-3"/>
          <c:y val="8.7248322147651033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BC5-4916-80C2-9EEAB71F9D10}"/>
              </c:ext>
            </c:extLst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C5-4916-80C2-9EEAB71F9D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892"/>
          <c:w val="0.43319838056680171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897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5F9-4E1C-BCAD-46240FAE8EE8}"/>
              </c:ext>
            </c:extLst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5F9-4E1C-BCAD-46240FAE8EE8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5F9-4E1C-BCAD-46240FAE8EE8}"/>
              </c:ext>
            </c:extLst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F9-4E1C-BCAD-46240FAE8E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77"/>
          <c:w val="0.40530303030303028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616852146263912E-2"/>
          <c:y val="2.1164021164021166E-2"/>
          <c:w val="0.85055643879173271"/>
          <c:h val="0.82010582010582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218765413215481E-3"/>
                  <c:y val="-4.3536003748972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6D-45C3-91DD-60B6F8D6F8C5}"/>
                </c:ext>
              </c:extLst>
            </c:dLbl>
            <c:dLbl>
              <c:idx val="1"/>
              <c:layout>
                <c:manualLayout>
                  <c:x val="1.1095386352388934E-2"/>
                  <c:y val="-6.0759493989425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6D-45C3-91DD-60B6F8D6F8C5}"/>
                </c:ext>
              </c:extLst>
            </c:dLbl>
            <c:dLbl>
              <c:idx val="2"/>
              <c:layout>
                <c:manualLayout>
                  <c:x val="-6.4231756441443192E-3"/>
                  <c:y val="-5.3000936404202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6D-45C3-91DD-60B6F8D6F8C5}"/>
                </c:ext>
              </c:extLst>
            </c:dLbl>
            <c:numFmt formatCode="@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98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6D-45C3-91DD-60B6F8D6F8C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739247782577785E-2"/>
                  <c:y val="-3.1309134456626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6D-45C3-91DD-60B6F8D6F8C5}"/>
                </c:ext>
              </c:extLst>
            </c:dLbl>
            <c:dLbl>
              <c:idx val="1"/>
              <c:layout>
                <c:manualLayout>
                  <c:x val="1.2429319041426962E-2"/>
                  <c:y val="-6.605049928043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6D-45C3-91DD-60B6F8D6F8C5}"/>
                </c:ext>
              </c:extLst>
            </c:dLbl>
            <c:dLbl>
              <c:idx val="2"/>
              <c:layout>
                <c:manualLayout>
                  <c:x val="1.7168473322044589E-2"/>
                  <c:y val="-4.9416306183203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6D-45C3-91DD-60B6F8D6F8C5}"/>
                </c:ext>
              </c:extLst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6D-45C3-91DD-60B6F8D6F8C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195794834842461E-3"/>
                  <c:y val="-7.9173682708006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F6D-45C3-91DD-60B6F8D6F8C5}"/>
                </c:ext>
              </c:extLst>
            </c:dLbl>
            <c:dLbl>
              <c:idx val="1"/>
              <c:layout>
                <c:manualLayout>
                  <c:x val="5.0137601877741043E-3"/>
                  <c:y val="-8.446468799901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6D-45C3-91DD-60B6F8D6F8C5}"/>
                </c:ext>
              </c:extLst>
            </c:dLbl>
            <c:dLbl>
              <c:idx val="2"/>
              <c:layout>
                <c:manualLayout>
                  <c:x val="2.2845526142472621E-4"/>
                  <c:y val="-4.742765096197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6D-45C3-91DD-60B6F8D6F8C5}"/>
                </c:ext>
              </c:extLst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F6D-45C3-91DD-60B6F8D6F8C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3316241099613E-2"/>
                  <c:y val="-6.053820174044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6D-45C3-91DD-60B6F8D6F8C5}"/>
                </c:ext>
              </c:extLst>
            </c:dLbl>
            <c:dLbl>
              <c:idx val="1"/>
              <c:layout>
                <c:manualLayout>
                  <c:x val="4.7580323654095895E-3"/>
                  <c:y val="-8.029076063478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6D-45C3-91DD-60B6F8D6F8C5}"/>
                </c:ext>
              </c:extLst>
            </c:dLbl>
            <c:dLbl>
              <c:idx val="2"/>
              <c:layout>
                <c:manualLayout>
                  <c:x val="6.33186330817325E-3"/>
                  <c:y val="-4.35481079406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F6D-45C3-91DD-60B6F8D6F8C5}"/>
                </c:ext>
              </c:extLst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F6D-45C3-91DD-60B6F8D6F8C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467259707868395E-2"/>
                  <c:y val="-4.742765096197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F6D-45C3-91DD-60B6F8D6F8C5}"/>
                </c:ext>
              </c:extLst>
            </c:dLbl>
            <c:dLbl>
              <c:idx val="1"/>
              <c:layout>
                <c:manualLayout>
                  <c:x val="1.2451430139229289E-2"/>
                  <c:y val="-8.446468799901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F6D-45C3-91DD-60B6F8D6F8C5}"/>
                </c:ext>
              </c:extLst>
            </c:dLbl>
            <c:dLbl>
              <c:idx val="2"/>
              <c:layout>
                <c:manualLayout>
                  <c:x val="1.3066601280981845E-3"/>
                  <c:y val="-3.684564037996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F6D-45C3-91DD-60B6F8D6F8C5}"/>
                </c:ext>
              </c:extLst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F6D-45C3-91DD-60B6F8D6F8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100192640"/>
        <c:axId val="100194176"/>
        <c:axId val="0"/>
      </c:bar3DChart>
      <c:catAx>
        <c:axId val="10019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9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194176"/>
        <c:scaling>
          <c:orientation val="minMax"/>
          <c:max val="3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192640"/>
        <c:crosses val="autoZero"/>
        <c:crossBetween val="between"/>
        <c:majorUnit val="3"/>
        <c:minorUnit val="3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82670906200318006"/>
          <c:y val="0.25396825396825407"/>
          <c:w val="0.17170111287758349"/>
          <c:h val="0.5608465608465605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63829787234043"/>
          <c:y val="7.8125E-3"/>
        </c:manualLayout>
      </c:layout>
      <c:overlay val="0"/>
      <c:spPr>
        <a:noFill/>
        <a:ln w="2534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191489361702126E-3"/>
          <c:y val="0.25"/>
          <c:w val="0.32978723404255328"/>
          <c:h val="0.484375000000000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6A7-4445-B1CE-C36C1D6A7D25}"/>
              </c:ext>
            </c:extLst>
          </c:dPt>
          <c:dLbls>
            <c:dLbl>
              <c:idx val="1"/>
              <c:layout>
                <c:manualLayout>
                  <c:x val="1.5957446808510637E-2"/>
                  <c:y val="-4.0714969014642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A7-4445-B1CE-C36C1D6A7D25}"/>
                </c:ext>
              </c:extLst>
            </c:dLbl>
            <c:numFmt formatCode="0%" sourceLinked="0"/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19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A7-4445-B1CE-C36C1D6A7D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35106382978723416"/>
          <c:y val="0.203125"/>
          <c:w val="0.62234042553191493"/>
          <c:h val="0.7500000000000002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6923076923076945E-3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61538461538462"/>
          <c:w val="0.33678756476683946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823-4F17-AB76-38339818FD7A}"/>
              </c:ext>
            </c:extLst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23-4F17-AB76-38339818FD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62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AD4E-191A-42A4-B95A-CD4C866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12681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exif_MSED_541b74c148104448fc552f463fef4c73317c39fc4fc472fe4d5729654227b41a</dc:description>
  <cp:lastModifiedBy>Екатерина</cp:lastModifiedBy>
  <cp:revision>2</cp:revision>
  <cp:lastPrinted>2018-07-23T12:04:00Z</cp:lastPrinted>
  <dcterms:created xsi:type="dcterms:W3CDTF">2019-04-09T08:47:00Z</dcterms:created>
  <dcterms:modified xsi:type="dcterms:W3CDTF">2019-04-09T08:47:00Z</dcterms:modified>
</cp:coreProperties>
</file>