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drawings/drawing1.xml" ContentType="application/vnd.openxmlformats-officedocument.drawingml.chartshapes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drawings/drawing2.xml" ContentType="application/vnd.openxmlformats-officedocument.drawingml.chartshapes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88" w:rsidRDefault="00435A88" w:rsidP="00435A8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5E2A" w:rsidRPr="00745E2A" w:rsidRDefault="00745E2A" w:rsidP="00745E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zh-CN"/>
        </w:rPr>
      </w:pPr>
      <w:r w:rsidRPr="00745E2A">
        <w:rPr>
          <w:rFonts w:ascii="Arial" w:eastAsia="Times New Roman" w:hAnsi="Arial" w:cs="Arial"/>
          <w:b/>
          <w:caps/>
          <w:sz w:val="24"/>
          <w:szCs w:val="24"/>
          <w:lang w:eastAsia="zh-CN"/>
        </w:rPr>
        <w:t xml:space="preserve">анализ </w:t>
      </w:r>
    </w:p>
    <w:p w:rsidR="00745E2A" w:rsidRPr="00745E2A" w:rsidRDefault="00745E2A" w:rsidP="00745E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zh-CN"/>
        </w:rPr>
      </w:pPr>
      <w:r w:rsidRPr="00745E2A">
        <w:rPr>
          <w:rFonts w:ascii="Arial" w:eastAsia="Times New Roman" w:hAnsi="Arial" w:cs="Arial"/>
          <w:b/>
          <w:caps/>
          <w:sz w:val="24"/>
          <w:szCs w:val="24"/>
          <w:lang w:eastAsia="zh-CN"/>
        </w:rPr>
        <w:t>детского дорожно-транспортного травматизма</w:t>
      </w:r>
    </w:p>
    <w:p w:rsidR="00745E2A" w:rsidRPr="00745E2A" w:rsidRDefault="00745E2A" w:rsidP="00745E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  <w:r w:rsidRPr="00745E2A">
        <w:rPr>
          <w:rFonts w:ascii="Arial" w:eastAsia="Times New Roman" w:hAnsi="Arial" w:cs="Arial"/>
          <w:b/>
          <w:caps/>
          <w:sz w:val="24"/>
          <w:szCs w:val="24"/>
          <w:lang w:eastAsia="zh-CN"/>
        </w:rPr>
        <w:t>в Московской области за 9 месяцев 2018 года</w:t>
      </w:r>
    </w:p>
    <w:p w:rsidR="00745E2A" w:rsidRPr="00745E2A" w:rsidRDefault="00745E2A" w:rsidP="00745E2A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За 9 месяцев 2018 года на дорогах Московской области зарегистрировано         405 дорожно-транспортных происшествий с участием детей и подростков в возрасте   до 16 лет (АППГ – 429, -5,6%), в результате которых 14 юных участников дорожного движения погибли (АППГ – 18, -22,2%) и 448 получили травмы различной степени тяжести (АППГ – 460, -2,6%).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41"/>
        <w:gridCol w:w="1661"/>
      </w:tblGrid>
      <w:tr w:rsidR="00745E2A" w:rsidRPr="00745E2A" w:rsidTr="00842A85">
        <w:trPr>
          <w:cantSplit/>
          <w:trHeight w:val="494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426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 месяцев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C000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+/-</w:t>
            </w: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абсолютное значение</w:t>
            </w:r>
          </w:p>
        </w:tc>
      </w:tr>
      <w:tr w:rsidR="00745E2A" w:rsidRPr="00745E2A" w:rsidTr="00842A85">
        <w:trPr>
          <w:cantSplit/>
          <w:trHeight w:val="128"/>
        </w:trPr>
        <w:tc>
          <w:tcPr>
            <w:tcW w:w="51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26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66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45E2A" w:rsidRPr="00745E2A" w:rsidTr="00842A85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-24</w:t>
            </w:r>
          </w:p>
        </w:tc>
      </w:tr>
      <w:tr w:rsidR="00745E2A" w:rsidRPr="00745E2A" w:rsidTr="00842A85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погибших в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-4</w:t>
            </w:r>
          </w:p>
        </w:tc>
      </w:tr>
      <w:tr w:rsidR="00745E2A" w:rsidRPr="00745E2A" w:rsidTr="00842A85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раненых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-12</w:t>
            </w:r>
          </w:p>
        </w:tc>
      </w:tr>
      <w:tr w:rsidR="00745E2A" w:rsidRPr="00745E2A" w:rsidTr="00842A85">
        <w:trPr>
          <w:trHeight w:val="8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Тяжесть последствий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3%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Всего за 9 месяцев 2018 года на территории Московской области произошло 4277 учетных ДТП, в которых 689 человек погибли и 5241 получили ранения.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Дорожные аварии, в результате которых погибли и пострадали дети, составили 9,5% от общего количества учетных ДТП, погибшие 2%, травмированные 8,5%.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289 дорожных аварий (АППГ – 311, -7%) произошли на территории обслуживания районных отделов Госавтоинспекции (71% от общего количества ДТП), 116 происшествий (АППГ – 118, -1%) зарегистрировано в зоне ответственности строевых подразделений (29% от общего количества ДТП).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По сравнению с аналогичными показателями прошлого года наибольший рост числа дорожных аварий с участием несовершеннолетних отмечается на территории обслуживания следующих районных и строевых подразделений ГИБДД: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ОГИБДД </w:t>
      </w:r>
      <w:proofErr w:type="spellStart"/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>г.о</w:t>
      </w:r>
      <w:proofErr w:type="spellEnd"/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Электросталь 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 xml:space="preserve">(2018г. – 4 ДТП,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4 пострадавших; 2017г. – 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>1 ДТП, 1 пострадавший; +300%);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ОГИБДД </w:t>
      </w:r>
      <w:proofErr w:type="spellStart"/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>г.о</w:t>
      </w:r>
      <w:proofErr w:type="spellEnd"/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>. Красногорск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 xml:space="preserve"> (2018г. – 7 ДТП, 8 пострадавших; 2017г. 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>2 ДТП, 2 пострадавших; +250%);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ОГИБДД </w:t>
      </w:r>
      <w:proofErr w:type="spellStart"/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>г.о</w:t>
      </w:r>
      <w:proofErr w:type="spellEnd"/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>. Павловский Посад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 xml:space="preserve"> (2018г. – 6 ДТП, 1 погибший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>5 пострадавших; 2017г. – 2 ДТП, 2 пострадавших; +200%);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45E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ОГИБДД Ногинского района </w:t>
      </w:r>
      <w:r w:rsidRPr="00745E2A">
        <w:rPr>
          <w:rFonts w:ascii="Arial" w:eastAsia="Times New Roman" w:hAnsi="Arial" w:cs="Arial"/>
          <w:bCs/>
          <w:color w:val="000000"/>
          <w:sz w:val="24"/>
          <w:szCs w:val="24"/>
        </w:rPr>
        <w:t>(2018г. – 21 ДТП, 2 погибших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45E2A">
        <w:rPr>
          <w:rFonts w:ascii="Arial" w:eastAsia="Times New Roman" w:hAnsi="Arial" w:cs="Arial"/>
          <w:bCs/>
          <w:color w:val="000000"/>
          <w:sz w:val="24"/>
          <w:szCs w:val="24"/>
        </w:rPr>
        <w:t>и 19 пострадавших; 2017г. – 11 ДТП, 2 погибших и 10 пострадавших; +90%);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ОГИБДД </w:t>
      </w:r>
      <w:proofErr w:type="spellStart"/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>г.о</w:t>
      </w:r>
      <w:proofErr w:type="spellEnd"/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>. Чехов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 xml:space="preserve"> (2018г. – 11 ДТП, 1 погибший и 10 пострадавших; 2017г. – 9 ДТП, 9 пострадавших; +22%);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>- 4 рота ДПС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 xml:space="preserve"> (2018г. – 5 ДТП, 8 пострадавших; 2017г. – 2 ДТП,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>3 пострадавших; +300%);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- 2 батальон ДПС 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>(2018г. – 11 ДТП, 14 пострадавших; 2017г. – 6 ДТП,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>6 пострадавших; +83%);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5E2A">
        <w:rPr>
          <w:rFonts w:ascii="Arial" w:eastAsia="Times New Roman" w:hAnsi="Arial" w:cs="Arial"/>
          <w:b/>
          <w:color w:val="000000"/>
          <w:sz w:val="24"/>
          <w:szCs w:val="24"/>
        </w:rPr>
        <w:t>- 11 батальон ДПС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 xml:space="preserve"> (2018г. – 12 ДТП, 16 пострадавших; 2017г. – 10 ДТП,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>10 пострадавших; +20%).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45E2A" w:rsidRPr="00745E2A" w:rsidRDefault="00745E2A" w:rsidP="00745E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 xml:space="preserve">Распределение показателей детского </w:t>
      </w:r>
    </w:p>
    <w:p w:rsidR="00745E2A" w:rsidRPr="00745E2A" w:rsidRDefault="00745E2A" w:rsidP="00745E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>дорожно-транспортного травматизма по месяцам</w:t>
      </w:r>
    </w:p>
    <w:tbl>
      <w:tblPr>
        <w:tblW w:w="1140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567"/>
        <w:gridCol w:w="567"/>
        <w:gridCol w:w="495"/>
        <w:gridCol w:w="639"/>
        <w:gridCol w:w="567"/>
        <w:gridCol w:w="498"/>
        <w:gridCol w:w="567"/>
        <w:gridCol w:w="494"/>
        <w:gridCol w:w="567"/>
        <w:gridCol w:w="567"/>
        <w:gridCol w:w="567"/>
        <w:gridCol w:w="603"/>
        <w:gridCol w:w="568"/>
        <w:gridCol w:w="640"/>
        <w:gridCol w:w="709"/>
        <w:gridCol w:w="599"/>
        <w:gridCol w:w="634"/>
      </w:tblGrid>
      <w:tr w:rsidR="00745E2A" w:rsidRPr="00745E2A" w:rsidTr="00842A85">
        <w:trPr>
          <w:cantSplit/>
          <w:trHeight w:val="102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32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Основные показатели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 w:right="4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 w:right="4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 w:right="4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113" w:right="4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745E2A" w:rsidRPr="00745E2A" w:rsidTr="00842A85">
        <w:trPr>
          <w:cantSplit/>
          <w:trHeight w:val="97"/>
        </w:trPr>
        <w:tc>
          <w:tcPr>
            <w:tcW w:w="9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26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18г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18г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18г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18г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18г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18г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18г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18г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17г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18г</w:t>
            </w:r>
          </w:p>
        </w:tc>
      </w:tr>
      <w:tr w:rsidR="00745E2A" w:rsidRPr="00745E2A" w:rsidTr="00842A85">
        <w:trPr>
          <w:trHeight w:val="50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Кол-во </w:t>
            </w: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ДТП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ahoma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93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ahoma" w:hAnsi="Arial" w:cs="Arial"/>
                <w:b/>
                <w:i/>
                <w:color w:val="000000"/>
                <w:sz w:val="24"/>
                <w:szCs w:val="24"/>
              </w:rPr>
              <w:t xml:space="preserve">    </w:t>
            </w: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51</w:t>
            </w:r>
          </w:p>
        </w:tc>
      </w:tr>
      <w:tr w:rsidR="00745E2A" w:rsidRPr="00745E2A" w:rsidTr="00842A85">
        <w:trPr>
          <w:trHeight w:val="50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Кол-во </w:t>
            </w: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погибших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</w:t>
            </w:r>
          </w:p>
        </w:tc>
      </w:tr>
      <w:tr w:rsidR="00745E2A" w:rsidRPr="00745E2A" w:rsidTr="00842A85">
        <w:trPr>
          <w:trHeight w:val="381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Кол-во </w:t>
            </w: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раненых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56</w:t>
            </w:r>
          </w:p>
        </w:tc>
      </w:tr>
      <w:tr w:rsidR="00745E2A" w:rsidRPr="00745E2A" w:rsidTr="00842A85">
        <w:trPr>
          <w:trHeight w:val="608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Тяжесть последствий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8,9%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3,5%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1,8%</w:t>
            </w:r>
          </w:p>
        </w:tc>
      </w:tr>
    </w:tbl>
    <w:p w:rsidR="00745E2A" w:rsidRPr="00745E2A" w:rsidRDefault="00745E2A" w:rsidP="00745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935" distR="114935" simplePos="0" relativeHeight="251657216" behindDoc="1" locked="0" layoutInCell="1" allowOverlap="1" wp14:anchorId="36BDD0E6" wp14:editId="2B03E12C">
            <wp:simplePos x="0" y="0"/>
            <wp:positionH relativeFrom="column">
              <wp:posOffset>89535</wp:posOffset>
            </wp:positionH>
            <wp:positionV relativeFrom="paragraph">
              <wp:posOffset>314325</wp:posOffset>
            </wp:positionV>
            <wp:extent cx="2573020" cy="1501775"/>
            <wp:effectExtent l="57150" t="38100" r="36830" b="22225"/>
            <wp:wrapTight wrapText="bothSides">
              <wp:wrapPolygon edited="0">
                <wp:start x="-480" y="-548"/>
                <wp:lineTo x="-480" y="21920"/>
                <wp:lineTo x="21909" y="21920"/>
                <wp:lineTo x="21909" y="-548"/>
                <wp:lineTo x="-480" y="-548"/>
              </wp:wrapPolygon>
            </wp:wrapTight>
            <wp:docPr id="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50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E2A">
        <w:rPr>
          <w:rFonts w:ascii="Arial" w:eastAsia="Times New Roman" w:hAnsi="Arial" w:cs="Arial"/>
          <w:b/>
          <w:i/>
          <w:sz w:val="24"/>
          <w:szCs w:val="24"/>
        </w:rPr>
        <w:t>Виды ДТП, в результате которых пострадали или погибли дети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ab/>
        <w:t xml:space="preserve">Самыми распространенными видами происшествий с участием несовершеннолетних являются столкновения транспортных средств и наезды на пешеходов. На их долю приходится 174 и 146 дорожных аварий соответственно.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Процентное распределение ДТП с участием пострадавших детей представлено на диаграмме: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E9DF638" wp14:editId="0CFBC163">
            <wp:extent cx="3559810" cy="1258170"/>
            <wp:effectExtent l="19050" t="19050" r="21590" b="18415"/>
            <wp:docPr id="6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 xml:space="preserve">Распределение погибших в ДТП детей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>по основным категориям участников дорожного движения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5E2A">
        <w:rPr>
          <w:rFonts w:ascii="Arial" w:eastAsia="Times New Roman" w:hAnsi="Arial" w:cs="Arial"/>
          <w:sz w:val="24"/>
          <w:szCs w:val="24"/>
        </w:rPr>
        <w:t xml:space="preserve">За 9 месяцев 2018 года на территории Московской области в 12 дорожных авариях погибли 14 юных участников дорожного движения (АППГ – 18, -22,2%).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DB199F7" wp14:editId="116C6F0D">
            <wp:extent cx="2911475" cy="1560472"/>
            <wp:effectExtent l="19050" t="19050" r="22225" b="20955"/>
            <wp:docPr id="6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45E2A">
        <w:rPr>
          <w:rFonts w:ascii="Arial" w:eastAsia="Times New Roman" w:hAnsi="Arial" w:cs="Arial"/>
          <w:b/>
          <w:sz w:val="24"/>
          <w:szCs w:val="24"/>
        </w:rPr>
        <w:t>Пассажиры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745E2A" w:rsidRPr="00745E2A" w:rsidTr="00842A85">
        <w:trPr>
          <w:trHeight w:val="386"/>
        </w:trPr>
        <w:tc>
          <w:tcPr>
            <w:tcW w:w="5210" w:type="dxa"/>
            <w:shd w:val="clear" w:color="auto" w:fill="auto"/>
          </w:tcPr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2017 год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В 9 ДТП погибли 11 детей-пассажиров: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7ED02CB" wp14:editId="2A90DAA6">
                  <wp:extent cx="2352675" cy="1211922"/>
                  <wp:effectExtent l="19050" t="19050" r="9525" b="26670"/>
                  <wp:docPr id="60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lastRenderedPageBreak/>
              <w:t>5 детей перевозились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без нарушений ПДД: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 w:hanging="37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ребенка в возрасте до 7 лет перевозились с использованием детских удерживающих устройств;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 w:hanging="37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ребенка старше 7 лет перевозились с использованием ремней безопасности.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6 детей перевозились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с нарушениями ПДД: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9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ребенка в возрасте до 7 лет, перевозились без использования детских удерживающих устройств;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9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ребенок в возрасте старше 7 лет перевозился без использования ремня безопасности;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ребенка являлись пассажирами мотоциклов (скутеров), перевозились без использования мотошлемов и защитной экипировки.</w:t>
            </w: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Расположение детей в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транспортных средствах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220CEED" wp14:editId="0FAF0B8E">
                  <wp:extent cx="2419350" cy="1353604"/>
                  <wp:effectExtent l="19050" t="19050" r="19050" b="18415"/>
                  <wp:docPr id="59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5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7 </w:t>
            </w: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детей находились на заднем пассажирском сидении автомобиля;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5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5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 </w:t>
            </w: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ребенок находился на переднем пассажирском сидении автомобиля;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5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3 </w:t>
            </w: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ребенка находились на заднем пассажирском сидении мотоцикла.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2018 год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В 8 ДТП погибли 10 детей-пассажиров: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95AF591" wp14:editId="418B913E">
                  <wp:extent cx="2476500" cy="1218047"/>
                  <wp:effectExtent l="19050" t="19050" r="19050" b="20320"/>
                  <wp:docPr id="58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6 детей перевозились 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без нарушений ПДД: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ребенка в возрасте до 7 лет, перевозились с использованием детских удерживающих устройств;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ребенка старше 7 лет перевозились с использованием ремней безопасности.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69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4 ребенка перевозились 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6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с нарушениями ПДД: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9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ребенка в возрасте до 7 лет, перевозились без использования детских удерживающих устройств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– являлся пассажиром маршрутного ТС);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ребенок являлся пассажиром мотоцикла, перевозился без использования мотошлема и защитной экипировки.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Расположение детей в 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транспортных средствах</w:t>
            </w:r>
          </w:p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24FE200" wp14:editId="6D9DD1BF">
                  <wp:extent cx="2257425" cy="1256215"/>
                  <wp:effectExtent l="19050" t="19050" r="9525" b="20320"/>
                  <wp:docPr id="5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7 </w:t>
            </w: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детей находились на задних пассажирских сидениях автомобилей;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 </w:t>
            </w: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ребенок находился на переднем сидении автомобиля;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 </w:t>
            </w: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ребенок находился в салоне маршрутного ТС;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 </w:t>
            </w:r>
            <w:r w:rsidRPr="00745E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ребенок находился на заднем пассажирском сидении мотоцикла.</w:t>
            </w:r>
          </w:p>
        </w:tc>
      </w:tr>
    </w:tbl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Все погибшие дети-пассажиры стали заложниками ситуаций, находясь в транспортных средствах, которыми управляли родители (взрослые) и осознанно нарушали правила дорожного движения (превышали допустимую скорость, осуществляли выезд на полосу встречного движения и т.д.).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sz w:val="24"/>
          <w:szCs w:val="24"/>
        </w:rPr>
        <w:t>Пешеходы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745E2A" w:rsidRPr="00745E2A" w:rsidTr="00842A85">
        <w:tc>
          <w:tcPr>
            <w:tcW w:w="5210" w:type="dxa"/>
            <w:shd w:val="clear" w:color="auto" w:fill="auto"/>
          </w:tcPr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из 4-х погибших детей – пешеходов: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3 – ребенка дошкольного возраста (до 7 лет);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 ребенок школьного возраста (старше 7 лет);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2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4 ДТП</w:t>
            </w:r>
            <w:r w:rsidRPr="00745E2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– вне зоны действия пешеходного перехода;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4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3 – дети находились в сопровождении взрослых;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4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 xml:space="preserve">1 – ребенок находился в сопровождении </w:t>
            </w:r>
            <w:r w:rsidRPr="00745E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взрослого;</w:t>
            </w: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 xml:space="preserve">- в 2 случаях в одежде детей </w:t>
            </w:r>
            <w:proofErr w:type="spellStart"/>
            <w:r w:rsidRPr="00745E2A">
              <w:rPr>
                <w:rFonts w:ascii="Arial" w:eastAsia="Times New Roman" w:hAnsi="Arial" w:cs="Arial"/>
                <w:sz w:val="24"/>
                <w:szCs w:val="24"/>
              </w:rPr>
              <w:t>световозвращающие</w:t>
            </w:r>
            <w:proofErr w:type="spellEnd"/>
            <w:r w:rsidRPr="00745E2A">
              <w:rPr>
                <w:rFonts w:ascii="Arial" w:eastAsia="Times New Roman" w:hAnsi="Arial" w:cs="Arial"/>
                <w:sz w:val="24"/>
                <w:szCs w:val="24"/>
              </w:rPr>
              <w:t xml:space="preserve"> элементы отсутствовали.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lastRenderedPageBreak/>
              <w:t>из 2-х погибших пешеходов: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 ребенок дошкольного возраста (до 7 лет);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 ребенок школьного возраста (старше 7 лет);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2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i/>
                <w:sz w:val="24"/>
                <w:szCs w:val="24"/>
              </w:rPr>
              <w:t>2 - в зоне действия пешеходного перехода;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4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1 - находился в сопровождении взрослого;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4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 xml:space="preserve">1 – находился без сопровождения </w:t>
            </w:r>
            <w:r w:rsidRPr="00745E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взрослого;</w:t>
            </w: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 xml:space="preserve">- 2 - </w:t>
            </w:r>
            <w:proofErr w:type="spellStart"/>
            <w:r w:rsidRPr="00745E2A">
              <w:rPr>
                <w:rFonts w:ascii="Arial" w:eastAsia="Times New Roman" w:hAnsi="Arial" w:cs="Arial"/>
                <w:sz w:val="24"/>
                <w:szCs w:val="24"/>
              </w:rPr>
              <w:t>световозвращающие</w:t>
            </w:r>
            <w:proofErr w:type="spellEnd"/>
            <w:r w:rsidRPr="00745E2A">
              <w:rPr>
                <w:rFonts w:ascii="Arial" w:eastAsia="Times New Roman" w:hAnsi="Arial" w:cs="Arial"/>
                <w:sz w:val="24"/>
                <w:szCs w:val="24"/>
              </w:rPr>
              <w:t xml:space="preserve"> элементы отсутствовали;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</w:tbl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sz w:val="24"/>
          <w:szCs w:val="24"/>
        </w:rPr>
        <w:lastRenderedPageBreak/>
        <w:t>Водители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745E2A" w:rsidRPr="00745E2A" w:rsidTr="00842A85">
        <w:tc>
          <w:tcPr>
            <w:tcW w:w="5210" w:type="dxa"/>
            <w:shd w:val="clear" w:color="auto" w:fill="auto"/>
          </w:tcPr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3 ребенка являлись водителями         </w:t>
            </w:r>
            <w:proofErr w:type="gramStart"/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  (</w:t>
            </w:r>
            <w:proofErr w:type="gramEnd"/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 велосипедиста и 1 мотоциклист):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3 - без шлема;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2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i/>
                <w:sz w:val="24"/>
                <w:szCs w:val="24"/>
              </w:rPr>
              <w:t>3 - без спец. защиты;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4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3 - без сопровождения взрослых.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2 ребенка являлись водителями         </w:t>
            </w:r>
            <w:proofErr w:type="gramStart"/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  (</w:t>
            </w:r>
            <w:proofErr w:type="gramEnd"/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1 управлял </w:t>
            </w:r>
            <w:proofErr w:type="spellStart"/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квадроциклом</w:t>
            </w:r>
            <w:proofErr w:type="spellEnd"/>
            <w:r w:rsidRPr="00745E2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и 1 мотоциклом):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1 - без шлема;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 – в шлеме;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2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i/>
                <w:sz w:val="24"/>
                <w:szCs w:val="24"/>
              </w:rPr>
              <w:t>2 - без спец. защиты;</w:t>
            </w:r>
          </w:p>
          <w:p w:rsidR="00745E2A" w:rsidRPr="00745E2A" w:rsidRDefault="00745E2A" w:rsidP="00745E2A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2 - без сопровождения взрослых.</w:t>
            </w:r>
          </w:p>
        </w:tc>
      </w:tr>
    </w:tbl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Погибшие дети-водители были допущены к управлению транспортными средствами родителями, которые сами приобрели детям «опасные подарки» и допустили их использование на дорогах общего пользования с нарушениями правил дорожного движения, с учетом отсутствия </w:t>
      </w:r>
      <w:proofErr w:type="gramStart"/>
      <w:r w:rsidRPr="00745E2A">
        <w:rPr>
          <w:rFonts w:ascii="Arial" w:eastAsia="Times New Roman" w:hAnsi="Arial" w:cs="Arial"/>
          <w:sz w:val="24"/>
          <w:szCs w:val="24"/>
        </w:rPr>
        <w:t>у несовершеннолетних специального права</w:t>
      </w:r>
      <w:proofErr w:type="gramEnd"/>
      <w:r w:rsidRPr="00745E2A">
        <w:rPr>
          <w:rFonts w:ascii="Arial" w:eastAsia="Times New Roman" w:hAnsi="Arial" w:cs="Arial"/>
          <w:sz w:val="24"/>
          <w:szCs w:val="24"/>
        </w:rPr>
        <w:t xml:space="preserve"> на управление ТС и без применения мотошлемов и защитной экипировки.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>Распределение пострадавших в ДТП детей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>по основным категориям участников дорожного движения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      </w:t>
      </w: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A846B9F" wp14:editId="25218782">
            <wp:extent cx="2822575" cy="1343660"/>
            <wp:effectExtent l="0" t="0" r="0" b="0"/>
            <wp:docPr id="56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745E2A">
        <w:rPr>
          <w:rFonts w:ascii="Arial" w:eastAsia="Times New Roman" w:hAnsi="Arial" w:cs="Arial"/>
          <w:sz w:val="24"/>
          <w:szCs w:val="24"/>
        </w:rPr>
        <w:t xml:space="preserve">     </w:t>
      </w: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2584A6A" wp14:editId="602B8339">
            <wp:extent cx="2552065" cy="1320165"/>
            <wp:effectExtent l="0" t="0" r="0" b="0"/>
            <wp:docPr id="55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 wp14:anchorId="0055FCD3" wp14:editId="7DD0D954">
            <wp:simplePos x="0" y="0"/>
            <wp:positionH relativeFrom="column">
              <wp:posOffset>4537710</wp:posOffset>
            </wp:positionH>
            <wp:positionV relativeFrom="paragraph">
              <wp:posOffset>165100</wp:posOffset>
            </wp:positionV>
            <wp:extent cx="1860550" cy="1190625"/>
            <wp:effectExtent l="57150" t="38100" r="44450" b="28575"/>
            <wp:wrapTight wrapText="bothSides">
              <wp:wrapPolygon edited="0">
                <wp:start x="-663" y="-691"/>
                <wp:lineTo x="-663" y="22118"/>
                <wp:lineTo x="22116" y="22118"/>
                <wp:lineTo x="22116" y="-691"/>
                <wp:lineTo x="-663" y="-691"/>
              </wp:wrapPolygon>
            </wp:wrapTight>
            <wp:docPr id="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E2A">
        <w:rPr>
          <w:rFonts w:ascii="Arial" w:eastAsia="Times New Roman" w:hAnsi="Arial" w:cs="Arial"/>
          <w:sz w:val="24"/>
          <w:szCs w:val="24"/>
        </w:rPr>
        <w:t>Дети, пострадавшие в результате ДТП, подразделяются на 3 категории участников дорожного движения: пешеходов, пассажиров и водителей.</w:t>
      </w:r>
    </w:p>
    <w:p w:rsidR="00745E2A" w:rsidRPr="00745E2A" w:rsidRDefault="00745E2A" w:rsidP="00745E2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color w:val="000000"/>
          <w:sz w:val="24"/>
          <w:szCs w:val="24"/>
        </w:rPr>
        <w:t>с участием пешеходов произошло 146 ДТП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 xml:space="preserve">(АППГ – 181, -19,3%), что </w:t>
      </w:r>
      <w:r w:rsidRPr="00745E2A">
        <w:rPr>
          <w:rFonts w:ascii="Arial" w:eastAsia="Times New Roman" w:hAnsi="Arial" w:cs="Arial"/>
          <w:sz w:val="24"/>
          <w:szCs w:val="24"/>
        </w:rPr>
        <w:t xml:space="preserve">составило 36% от общего числа дорожных аварий, в которых 2 ребенка погибли (АППГ – 4, -50%) и 149 получили ранения (АППГ – 183, -18,6%). 54 ДТП (37%) зарегистрировано в зоне действия 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>пешеходного перехода. 115 подростков</w:t>
      </w:r>
      <w:r w:rsidRPr="00745E2A">
        <w:rPr>
          <w:rFonts w:ascii="Arial" w:eastAsia="Times New Roman" w:hAnsi="Arial" w:cs="Arial"/>
          <w:sz w:val="24"/>
          <w:szCs w:val="24"/>
        </w:rPr>
        <w:t xml:space="preserve"> - дети школьного возраста (76%), 36 – дошкольники. 71 ребенок (47%) в момент ДТП находились без сопровождения взрослых. Из всех пострадавших юных пешеходов только 10 (7%) использовали в одежде </w:t>
      </w:r>
      <w:proofErr w:type="spellStart"/>
      <w:r w:rsidRPr="00745E2A">
        <w:rPr>
          <w:rFonts w:ascii="Arial" w:eastAsia="Times New Roman" w:hAnsi="Arial" w:cs="Arial"/>
          <w:sz w:val="24"/>
          <w:szCs w:val="24"/>
        </w:rPr>
        <w:t>световозвращающие</w:t>
      </w:r>
      <w:proofErr w:type="spellEnd"/>
      <w:r w:rsidRPr="00745E2A">
        <w:rPr>
          <w:rFonts w:ascii="Arial" w:eastAsia="Times New Roman" w:hAnsi="Arial" w:cs="Arial"/>
          <w:sz w:val="24"/>
          <w:szCs w:val="24"/>
        </w:rPr>
        <w:t xml:space="preserve"> элементы.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 xml:space="preserve">  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 xml:space="preserve"> Информация о наездах на пешеходов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>во дворовых территориях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24"/>
          <w:szCs w:val="24"/>
        </w:rPr>
      </w:pP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02E71F0" wp14:editId="20D5E72C">
            <wp:extent cx="2520315" cy="1494790"/>
            <wp:effectExtent l="0" t="0" r="0" b="0"/>
            <wp:docPr id="54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745E2A">
        <w:rPr>
          <w:rFonts w:ascii="Arial" w:eastAsia="Times New Roman" w:hAnsi="Arial" w:cs="Arial"/>
          <w:sz w:val="24"/>
          <w:szCs w:val="24"/>
        </w:rPr>
        <w:t xml:space="preserve">      </w:t>
      </w: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9123470" wp14:editId="5A728208">
            <wp:extent cx="2433320" cy="1487170"/>
            <wp:effectExtent l="0" t="0" r="0" b="0"/>
            <wp:docPr id="53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Во дворовых территориях зарегистрировано 29 ДТП (20% от общего количества </w:t>
      </w:r>
      <w:r w:rsidRPr="00745E2A">
        <w:rPr>
          <w:rFonts w:ascii="Arial" w:eastAsia="Times New Roman" w:hAnsi="Arial" w:cs="Arial"/>
          <w:sz w:val="24"/>
          <w:szCs w:val="24"/>
        </w:rPr>
        <w:lastRenderedPageBreak/>
        <w:t>ДТП с участием пешеходов), в которых 29 детей получили травмы различной степени тяжести.</w:t>
      </w:r>
    </w:p>
    <w:p w:rsidR="00745E2A" w:rsidRPr="00745E2A" w:rsidRDefault="00745E2A" w:rsidP="00745E2A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color w:val="000000"/>
          <w:sz w:val="24"/>
          <w:szCs w:val="24"/>
        </w:rPr>
        <w:t xml:space="preserve">с участием пассажиров зарегистрировано 198 ДТП (АППГ – 187, +5,9%), что </w:t>
      </w:r>
      <w:r w:rsidRPr="00745E2A">
        <w:rPr>
          <w:rFonts w:ascii="Arial" w:eastAsia="Times New Roman" w:hAnsi="Arial" w:cs="Arial"/>
          <w:sz w:val="24"/>
          <w:szCs w:val="24"/>
        </w:rPr>
        <w:t>составило 49% от</w:t>
      </w:r>
      <w:r w:rsidRPr="00745E2A">
        <w:rPr>
          <w:rFonts w:ascii="Arial" w:eastAsia="Times New Roman" w:hAnsi="Arial" w:cs="Arial"/>
          <w:color w:val="000000"/>
          <w:sz w:val="24"/>
          <w:szCs w:val="24"/>
        </w:rPr>
        <w:t xml:space="preserve"> общего числа дорожных аварий, в которых 10 детей погибли (АППГ – 11, -9,1%) и 240 получили травмы (АППГ – 217, +10,6</w:t>
      </w:r>
      <w:r w:rsidRPr="00745E2A">
        <w:rPr>
          <w:rFonts w:ascii="Arial" w:eastAsia="Times New Roman" w:hAnsi="Arial" w:cs="Arial"/>
          <w:sz w:val="24"/>
          <w:szCs w:val="24"/>
        </w:rPr>
        <w:t xml:space="preserve">%). Перевозка 40 юных пассажиров (16%) осуществлялась с нарушениями ПДД РФ, то есть без применения детских удерживающих устройств и ремней безопасности. </w:t>
      </w:r>
    </w:p>
    <w:p w:rsidR="00745E2A" w:rsidRPr="00745E2A" w:rsidRDefault="00745E2A" w:rsidP="00745E2A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с участием юных водителей зарегистрировано 61 ДТП (АППГ – 61), что составило 15% от общего числа дорожных аварий, в которых 2 ребенка погибли (АППГ – 3, -33,3%) и 59 получили ранения (АППГ - 60, -16,6%). В 4-х случаях, в момент ДТП, несовершеннолетние находились в сопровождении взрослых, только в 8-ми случаях детьми использовались шлемы, в 2-х - защитная экипировка.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 xml:space="preserve">Распределение пострадавших в ДТП детей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 xml:space="preserve">по возрастным категориям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В таблице представлены статистические показатели с учетом распределения пострадавших и погибших детей по четырем основным возрастным группам: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7338"/>
        <w:gridCol w:w="1351"/>
        <w:gridCol w:w="1467"/>
      </w:tblGrid>
      <w:tr w:rsidR="00745E2A" w:rsidRPr="00745E2A" w:rsidTr="00842A85">
        <w:trPr>
          <w:trHeight w:val="628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Основные возрастные категории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ДТП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%</w:t>
            </w:r>
          </w:p>
        </w:tc>
      </w:tr>
      <w:tr w:rsidR="00745E2A" w:rsidRPr="00745E2A" w:rsidTr="00842A85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дошкольники до</w:t>
            </w:r>
            <w:r w:rsidRPr="00745E2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7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</w:tr>
      <w:tr w:rsidR="00745E2A" w:rsidRPr="00745E2A" w:rsidTr="00842A85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 xml:space="preserve">школьники начальных классов </w:t>
            </w:r>
            <w:r w:rsidRPr="00745E2A">
              <w:rPr>
                <w:rFonts w:ascii="Arial" w:eastAsia="Times New Roman" w:hAnsi="Arial" w:cs="Arial"/>
                <w:i/>
                <w:sz w:val="24"/>
                <w:szCs w:val="24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</w:tr>
      <w:tr w:rsidR="00745E2A" w:rsidRPr="00745E2A" w:rsidTr="00842A85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 xml:space="preserve">школьники средних классов </w:t>
            </w:r>
            <w:r w:rsidRPr="00745E2A">
              <w:rPr>
                <w:rFonts w:ascii="Arial" w:eastAsia="Times New Roman" w:hAnsi="Arial" w:cs="Arial"/>
                <w:i/>
                <w:sz w:val="24"/>
                <w:szCs w:val="24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745E2A" w:rsidRPr="00745E2A" w:rsidTr="00842A85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 xml:space="preserve">школьники старших классов </w:t>
            </w:r>
            <w:r w:rsidRPr="00745E2A">
              <w:rPr>
                <w:rFonts w:ascii="Arial" w:eastAsia="Times New Roman" w:hAnsi="Arial" w:cs="Arial"/>
                <w:i/>
                <w:sz w:val="24"/>
                <w:szCs w:val="24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745E2A" w:rsidRPr="00745E2A" w:rsidTr="00842A85">
        <w:trPr>
          <w:trHeight w:val="246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405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Долевое распределение детского дорожно-транспортного травматизма, в зависимости от возраста пострадавших детей, представлено на диаграммах: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800000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   </w:t>
      </w: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5F34279" wp14:editId="104A066F">
            <wp:extent cx="2449195" cy="1510665"/>
            <wp:effectExtent l="0" t="0" r="0" b="0"/>
            <wp:docPr id="5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745E2A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2E58826" wp14:editId="3AA4D9A5">
            <wp:extent cx="2607945" cy="1503045"/>
            <wp:effectExtent l="0" t="0" r="0" b="0"/>
            <wp:docPr id="51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67% ДТП приходится на детей школьного возраста, из которых наибольшему риску подвержены возрастная категория от 7 до 10 лет. Одной из причин значительного количества ДТП со школьниками является то обстоятельство, что детей, обучающихся в образовательных организациях в 2 раза больше, чем дошкольников. Также, данный факт объясняется тем, что в большинстве случаях, школьники находятся на улице и проезжей части без сопровождения взрослых, самостоятельно передвигаются из дома в школу и обратно, посещают всевозможные секции и кружки, тогда как дошкольники, как правило, находятся под присмотром родителей.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>Распределение показателей детского дорожно-транспортного травматизма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>в зависимости от погодных условий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eastAsia="Times New Roman" w:hAnsi="Arial" w:cs="Arial"/>
          <w:color w:val="800000"/>
          <w:sz w:val="24"/>
          <w:szCs w:val="24"/>
        </w:rPr>
      </w:pPr>
      <w:r w:rsidRPr="00745E2A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613E5F7D" wp14:editId="30E2395E">
            <wp:extent cx="6090920" cy="1614170"/>
            <wp:effectExtent l="0" t="0" r="0" b="0"/>
            <wp:docPr id="50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118 ДТП (29%), при которых погибли или пострадали дети, произошли при неблагоприятных метеорологических условиях (пасмурность, снегопад, дождь). Данное обстоятельство объясняется тем, что при ненастной погоде риск попасть в ДТП значительно возрастает: ухудшается видимость, слышимость, тормозной и остановочный путь транспорта увеличивается и, соответственно, неблагоприятные погодные условия могут косвенно влиять на возникновение дорожных происшествий.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 xml:space="preserve">Показатели ДТП с участием несовершеннолетних,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 xml:space="preserve">при которых выявлены недостатки транспортно-эксплуатационного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>состояния улично-дорожной сети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0000"/>
          <w:sz w:val="24"/>
          <w:szCs w:val="24"/>
        </w:rPr>
      </w:pP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1BFA7C2" wp14:editId="6093AACC">
            <wp:extent cx="1900555" cy="1383665"/>
            <wp:effectExtent l="0" t="0" r="0" b="0"/>
            <wp:docPr id="49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745E2A">
        <w:rPr>
          <w:rFonts w:ascii="Arial" w:eastAsia="Times New Roman" w:hAnsi="Arial" w:cs="Arial"/>
          <w:color w:val="FF0000"/>
          <w:sz w:val="24"/>
          <w:szCs w:val="24"/>
        </w:rPr>
        <w:t xml:space="preserve">    </w:t>
      </w: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C0C2E8D" wp14:editId="1A6293EB">
            <wp:extent cx="1932305" cy="1336040"/>
            <wp:effectExtent l="0" t="0" r="0" b="0"/>
            <wp:docPr id="48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745E2A">
        <w:rPr>
          <w:rFonts w:ascii="Arial" w:eastAsia="Times New Roman" w:hAnsi="Arial" w:cs="Arial"/>
          <w:color w:val="FF0000"/>
          <w:sz w:val="24"/>
          <w:szCs w:val="24"/>
        </w:rPr>
        <w:t xml:space="preserve">     </w:t>
      </w: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2D156CB" wp14:editId="43FB7AF8">
            <wp:extent cx="2011680" cy="1336040"/>
            <wp:effectExtent l="0" t="0" r="0" b="0"/>
            <wp:docPr id="4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В 161 ДТП (40%) с участием детей были выявлены недостатки транспортно-эксплуатационного состояния улично-дорожной сети. В результате данных ДТП 10 несовершеннолетних погибли и 161 получил ранения.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>Распределение ДТП с участием детей,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>в зависимости от категории автодороги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1A9520A" wp14:editId="77BD0A38">
            <wp:extent cx="2838450" cy="1422974"/>
            <wp:effectExtent l="19050" t="19050" r="19050" b="25400"/>
            <wp:docPr id="46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A3DF637" wp14:editId="261B56CD">
            <wp:extent cx="2266950" cy="1250334"/>
            <wp:effectExtent l="19050" t="19050" r="19050" b="26035"/>
            <wp:docPr id="45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745E2A">
        <w:rPr>
          <w:rFonts w:ascii="Arial" w:eastAsia="Times New Roman" w:hAnsi="Arial" w:cs="Arial"/>
          <w:sz w:val="24"/>
          <w:szCs w:val="24"/>
        </w:rPr>
        <w:t xml:space="preserve">    </w:t>
      </w: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1DDC082" wp14:editId="332EDA06">
            <wp:extent cx="2200275" cy="1240563"/>
            <wp:effectExtent l="19050" t="19050" r="9525" b="17145"/>
            <wp:docPr id="44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Как видно из диаграмм наибольшее количество ДТП регистрируется на дорогах местного (муниципального) значения – 190 ДТП (47%), на региональных дорогах - 125 ДТП (31%), на дорогах федерального значения – 90 (22%) ДТП.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 xml:space="preserve">Распределение ДТП по времени суток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276EE4C3" wp14:editId="644AC961">
            <wp:extent cx="5669280" cy="1765300"/>
            <wp:effectExtent l="0" t="0" r="0" b="0"/>
            <wp:docPr id="43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2024"/>
      </w:tblGrid>
      <w:tr w:rsidR="00745E2A" w:rsidRPr="00745E2A" w:rsidTr="00842A85">
        <w:trPr>
          <w:trHeight w:val="5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Погибло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Ранено</w:t>
            </w:r>
          </w:p>
        </w:tc>
      </w:tr>
      <w:tr w:rsidR="00745E2A" w:rsidRPr="00745E2A" w:rsidTr="00842A85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00ч.00мин. – 07ч.00мин.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745E2A" w:rsidRPr="00745E2A" w:rsidTr="00842A85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07ч.00мин. – 09ч.00мин.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745E2A" w:rsidRPr="00745E2A" w:rsidTr="00842A85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09ч.00мин. – 12ч.00мин.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</w:tr>
      <w:tr w:rsidR="00745E2A" w:rsidRPr="00745E2A" w:rsidTr="00842A85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12ч.00мин. – 15ч.00мин.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</w:tr>
      <w:tr w:rsidR="00745E2A" w:rsidRPr="00745E2A" w:rsidTr="00842A85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15ч.00мин. – 18ч.00мин.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</w:tr>
      <w:tr w:rsidR="00745E2A" w:rsidRPr="00745E2A" w:rsidTr="00842A85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18ч.00мин. – 21ч.00мин.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</w:tr>
      <w:tr w:rsidR="00745E2A" w:rsidRPr="00745E2A" w:rsidTr="00842A85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21ч.00мин. – 24ч.00мин.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</w:tr>
      <w:tr w:rsidR="00745E2A" w:rsidRPr="00745E2A" w:rsidTr="00842A85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448</w:t>
            </w:r>
          </w:p>
        </w:tc>
      </w:tr>
    </w:tbl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Половина ДТП происходит в период с 15ч.00мин. до 21ч.00мин. (202 ДТП, 50%). Данная тенденция связана с увеличением интенсивности транспортных потоков и активным пребыванием детей на улице.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>Распределение ДТП по дням недели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41C8574" wp14:editId="7538663D">
            <wp:extent cx="5160645" cy="1900555"/>
            <wp:effectExtent l="0" t="0" r="0" b="0"/>
            <wp:docPr id="4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1843"/>
        <w:gridCol w:w="1741"/>
      </w:tblGrid>
      <w:tr w:rsidR="00745E2A" w:rsidRPr="00745E2A" w:rsidTr="00842A85">
        <w:trPr>
          <w:trHeight w:val="5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Погибло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Ранено</w:t>
            </w:r>
          </w:p>
        </w:tc>
      </w:tr>
      <w:tr w:rsidR="00745E2A" w:rsidRPr="00745E2A" w:rsidTr="00842A85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</w:tr>
      <w:tr w:rsidR="00745E2A" w:rsidRPr="00745E2A" w:rsidTr="00842A85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</w:tr>
      <w:tr w:rsidR="00745E2A" w:rsidRPr="00745E2A" w:rsidTr="00842A85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</w:tr>
      <w:tr w:rsidR="00745E2A" w:rsidRPr="00745E2A" w:rsidTr="00842A85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</w:tr>
      <w:tr w:rsidR="00745E2A" w:rsidRPr="00745E2A" w:rsidTr="00842A85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</w:tr>
      <w:tr w:rsidR="00745E2A" w:rsidRPr="00745E2A" w:rsidTr="00842A85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</w:tr>
      <w:tr w:rsidR="00745E2A" w:rsidRPr="00745E2A" w:rsidTr="00842A85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</w:tr>
      <w:tr w:rsidR="00745E2A" w:rsidRPr="00745E2A" w:rsidTr="00842A85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448</w:t>
            </w:r>
          </w:p>
        </w:tc>
      </w:tr>
    </w:tbl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Диаграмма показывает, что наиболее аварийным днем за отчетный период является суббота (80 ДТП, 20%).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>Распределение детей в зависимости от места жительства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На территории региона в ДТП получают травмы в основном дети, проживающие и обучающиеся в Подмосковье (79%), в 14% - жители г. Москвы, в 7% - других регионов.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Распределение основных показателей аварийности, в зависимости от мест проживания пострадавших в ДТП детей, представлено на диаграммах: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FB72DB8" wp14:editId="0161B38E">
            <wp:extent cx="2520315" cy="1288415"/>
            <wp:effectExtent l="0" t="0" r="0" b="0"/>
            <wp:docPr id="41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745E2A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C31FB8C" wp14:editId="448BDCBD">
            <wp:extent cx="2838450" cy="1256030"/>
            <wp:effectExtent l="0" t="0" r="0" b="0"/>
            <wp:docPr id="40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4A00A73" wp14:editId="4ABDC062">
            <wp:extent cx="2314575" cy="1340802"/>
            <wp:effectExtent l="19050" t="19050" r="9525" b="12065"/>
            <wp:docPr id="39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236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702"/>
        <w:gridCol w:w="849"/>
        <w:gridCol w:w="1702"/>
        <w:gridCol w:w="850"/>
        <w:gridCol w:w="1821"/>
      </w:tblGrid>
      <w:tr w:rsidR="00745E2A" w:rsidRPr="00745E2A" w:rsidTr="00842A85">
        <w:trPr>
          <w:cantSplit/>
          <w:trHeight w:val="317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</w:t>
            </w: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Место жительства детей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ДТП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Погибло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Ранено</w:t>
            </w:r>
          </w:p>
        </w:tc>
      </w:tr>
      <w:tr w:rsidR="00745E2A" w:rsidRPr="00745E2A" w:rsidTr="00842A85">
        <w:trPr>
          <w:cantSplit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% от общего </w:t>
            </w: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кол-ва ДТП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% от общего кол-ва погибших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2018г.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% от общего кол-ва пострадавших детей</w:t>
            </w:r>
          </w:p>
        </w:tc>
      </w:tr>
      <w:tr w:rsidR="00745E2A" w:rsidRPr="00745E2A" w:rsidTr="00842A85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Московская</w:t>
            </w:r>
          </w:p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320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342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</w:tr>
      <w:tr w:rsidR="00745E2A" w:rsidRPr="00745E2A" w:rsidTr="00842A85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г. Москва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745E2A" w:rsidRPr="00745E2A" w:rsidTr="00842A85">
        <w:trPr>
          <w:trHeight w:val="40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Иные регионы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5E2A" w:rsidRPr="00745E2A" w:rsidRDefault="00745E2A" w:rsidP="00745E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E2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</w:tbl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 xml:space="preserve">Диаграммы распределения погибших и раненых детей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>по местам совершения ДТП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5E2A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6C8A4AF0" wp14:editId="1069C324">
            <wp:extent cx="2828925" cy="1563792"/>
            <wp:effectExtent l="0" t="0" r="9525" b="17780"/>
            <wp:docPr id="38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46FE98F" wp14:editId="145FF69B">
            <wp:extent cx="2600325" cy="1616038"/>
            <wp:effectExtent l="0" t="0" r="9525" b="3810"/>
            <wp:docPr id="3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745E2A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Pr="00745E2A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4084621D" wp14:editId="31B4C927">
            <wp:extent cx="2657475" cy="1598683"/>
            <wp:effectExtent l="0" t="0" r="9525" b="1905"/>
            <wp:docPr id="36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5E2A">
        <w:rPr>
          <w:rFonts w:ascii="Arial" w:eastAsia="Times New Roman" w:hAnsi="Arial" w:cs="Arial"/>
          <w:b/>
          <w:sz w:val="24"/>
          <w:szCs w:val="24"/>
        </w:rPr>
        <w:t xml:space="preserve">   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Pr="00745E2A">
        <w:rPr>
          <w:rFonts w:ascii="Arial" w:eastAsia="Times New Roman" w:hAnsi="Arial" w:cs="Arial"/>
          <w:sz w:val="24"/>
          <w:szCs w:val="24"/>
        </w:rPr>
        <w:t xml:space="preserve">По местам совершения дорожно-транспортные происшествия распределились следующим образом: 160 (41%) ДТП произошло на проезжей части в загородной зоне, 191 (46%) - в городской черте, 54 (13%) - в зоне действия пешеходных переходов.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t>Анализ ДТП, произошедших по вине детей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color w:val="000000"/>
          <w:sz w:val="24"/>
          <w:szCs w:val="24"/>
        </w:rPr>
        <w:t xml:space="preserve">За обозначенный период виновность в совершении дорожных аварий со стороны детей усматривается в 108 ДТП (АППГ – 108), что составляет 27% от общего количества дорожных аварий, в результате которых 2 ребенка погибли (АППГ – 3, -33%) и 108 получили ранения (АППГ – 106, +2%).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  </w:t>
      </w: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F95B61B" wp14:editId="2D781AF4">
            <wp:extent cx="5669280" cy="1693545"/>
            <wp:effectExtent l="0" t="0" r="0" b="0"/>
            <wp:docPr id="35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745E2A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Основными нарушениями правил дорожного движения со стороны детей и подростков повлекшими ДТП стали:</w:t>
      </w:r>
    </w:p>
    <w:p w:rsidR="00745E2A" w:rsidRPr="00745E2A" w:rsidRDefault="00745E2A" w:rsidP="00745E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переход проезжей части в неустановленном месте – </w:t>
      </w:r>
      <w:r w:rsidRPr="00745E2A">
        <w:rPr>
          <w:rFonts w:ascii="Arial" w:eastAsia="Times New Roman" w:hAnsi="Arial" w:cs="Arial"/>
          <w:b/>
          <w:sz w:val="24"/>
          <w:szCs w:val="24"/>
        </w:rPr>
        <w:t>28 нарушений;</w:t>
      </w:r>
    </w:p>
    <w:p w:rsidR="00745E2A" w:rsidRPr="00745E2A" w:rsidRDefault="00745E2A" w:rsidP="00745E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выход на ПЧ из-за стоящего транспорта </w:t>
      </w:r>
      <w:r w:rsidRPr="00745E2A">
        <w:rPr>
          <w:rFonts w:ascii="Arial" w:eastAsia="Times New Roman" w:hAnsi="Arial" w:cs="Arial"/>
          <w:b/>
          <w:sz w:val="24"/>
          <w:szCs w:val="24"/>
        </w:rPr>
        <w:t xml:space="preserve">– 16 нарушений; </w:t>
      </w:r>
    </w:p>
    <w:p w:rsidR="00745E2A" w:rsidRPr="00745E2A" w:rsidRDefault="00745E2A" w:rsidP="00745E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нарушения ПДД велосипедистами </w:t>
      </w:r>
      <w:r w:rsidRPr="00745E2A">
        <w:rPr>
          <w:rFonts w:ascii="Arial" w:eastAsia="Times New Roman" w:hAnsi="Arial" w:cs="Arial"/>
          <w:b/>
          <w:sz w:val="24"/>
          <w:szCs w:val="24"/>
        </w:rPr>
        <w:t xml:space="preserve">– 25 нарушений; </w:t>
      </w:r>
    </w:p>
    <w:p w:rsidR="00745E2A" w:rsidRPr="00745E2A" w:rsidRDefault="00745E2A" w:rsidP="00745E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нарушение ПДД мотоциклистами </w:t>
      </w:r>
      <w:r w:rsidRPr="00745E2A">
        <w:rPr>
          <w:rFonts w:ascii="Arial" w:eastAsia="Times New Roman" w:hAnsi="Arial" w:cs="Arial"/>
          <w:b/>
          <w:sz w:val="24"/>
          <w:szCs w:val="24"/>
        </w:rPr>
        <w:t>– 19 нарушений;</w:t>
      </w:r>
    </w:p>
    <w:p w:rsidR="00745E2A" w:rsidRPr="00745E2A" w:rsidRDefault="00745E2A" w:rsidP="00745E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выход на проезжую часть перед близко идущим транспортом –                                </w:t>
      </w:r>
      <w:r w:rsidRPr="00745E2A">
        <w:rPr>
          <w:rFonts w:ascii="Arial" w:eastAsia="Times New Roman" w:hAnsi="Arial" w:cs="Arial"/>
          <w:b/>
          <w:sz w:val="24"/>
          <w:szCs w:val="24"/>
        </w:rPr>
        <w:t>7 нарушений;</w:t>
      </w:r>
    </w:p>
    <w:p w:rsidR="00745E2A" w:rsidRPr="00745E2A" w:rsidRDefault="00745E2A" w:rsidP="00745E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прочие нарушения </w:t>
      </w:r>
      <w:r w:rsidRPr="00745E2A">
        <w:rPr>
          <w:rFonts w:ascii="Arial" w:eastAsia="Times New Roman" w:hAnsi="Arial" w:cs="Arial"/>
          <w:b/>
          <w:sz w:val="24"/>
          <w:szCs w:val="24"/>
        </w:rPr>
        <w:t>– 8 нарушений;</w:t>
      </w:r>
    </w:p>
    <w:p w:rsidR="00745E2A" w:rsidRPr="00745E2A" w:rsidRDefault="00745E2A" w:rsidP="00745E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неподчинение сигналам пешеходного светофора – </w:t>
      </w:r>
      <w:r w:rsidRPr="00745E2A">
        <w:rPr>
          <w:rFonts w:ascii="Arial" w:eastAsia="Times New Roman" w:hAnsi="Arial" w:cs="Arial"/>
          <w:b/>
          <w:sz w:val="24"/>
          <w:szCs w:val="24"/>
        </w:rPr>
        <w:t>3 нарушения;</w:t>
      </w:r>
    </w:p>
    <w:p w:rsidR="00745E2A" w:rsidRPr="00745E2A" w:rsidRDefault="00745E2A" w:rsidP="00745E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игра на проезжей части</w:t>
      </w:r>
      <w:r w:rsidRPr="00745E2A">
        <w:rPr>
          <w:rFonts w:ascii="Arial" w:eastAsia="Times New Roman" w:hAnsi="Arial" w:cs="Arial"/>
          <w:b/>
          <w:sz w:val="24"/>
          <w:szCs w:val="24"/>
        </w:rPr>
        <w:t xml:space="preserve"> – 1 нарушение.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5E2A">
        <w:rPr>
          <w:rFonts w:ascii="Arial" w:eastAsia="Times New Roman" w:hAnsi="Arial" w:cs="Arial"/>
          <w:b/>
          <w:i/>
          <w:sz w:val="24"/>
          <w:szCs w:val="24"/>
        </w:rPr>
        <w:lastRenderedPageBreak/>
        <w:t>ДТП по вине водителей транспортных средств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5E2A">
        <w:rPr>
          <w:rFonts w:ascii="Arial" w:eastAsia="Times New Roman" w:hAnsi="Arial" w:cs="Arial"/>
          <w:color w:val="000000"/>
          <w:sz w:val="24"/>
          <w:szCs w:val="24"/>
        </w:rPr>
        <w:t>Виновность со стороны водителей транспортных средств прослеживается в 364 ДТП (АППГ – 363), в результате которых 13 детей погибли (АППГ – 18</w:t>
      </w:r>
      <w:proofErr w:type="gramStart"/>
      <w:r w:rsidRPr="00745E2A">
        <w:rPr>
          <w:rFonts w:ascii="Arial" w:eastAsia="Times New Roman" w:hAnsi="Arial" w:cs="Arial"/>
          <w:color w:val="000000"/>
          <w:sz w:val="24"/>
          <w:szCs w:val="24"/>
        </w:rPr>
        <w:t>,  -</w:t>
      </w:r>
      <w:proofErr w:type="gramEnd"/>
      <w:r w:rsidRPr="00745E2A">
        <w:rPr>
          <w:rFonts w:ascii="Arial" w:eastAsia="Times New Roman" w:hAnsi="Arial" w:cs="Arial"/>
          <w:color w:val="000000"/>
          <w:sz w:val="24"/>
          <w:szCs w:val="24"/>
        </w:rPr>
        <w:t>28%) и 419 получили различные травмы (АППГ - 389, +8%).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        </w:t>
      </w:r>
      <w:r w:rsidRPr="00745E2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3AEC0E7" wp14:editId="122B5BF3">
            <wp:extent cx="5979160" cy="1820545"/>
            <wp:effectExtent l="0" t="0" r="0" b="0"/>
            <wp:docPr id="34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Основными причинами таких ДТП являются: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1. иные нарушения ПДД (нарушения правил движения в жилых зонах, нарушения требований сигналов светофоров, нарушения правил остановки и стоянки, нарушения правил проезда перекрестков) – </w:t>
      </w:r>
      <w:r w:rsidRPr="00745E2A">
        <w:rPr>
          <w:rFonts w:ascii="Arial" w:eastAsia="Times New Roman" w:hAnsi="Arial" w:cs="Arial"/>
          <w:b/>
          <w:sz w:val="24"/>
          <w:szCs w:val="24"/>
        </w:rPr>
        <w:t>180</w:t>
      </w:r>
      <w:r w:rsidRPr="00745E2A">
        <w:rPr>
          <w:rFonts w:ascii="Arial" w:eastAsia="Times New Roman" w:hAnsi="Arial" w:cs="Arial"/>
          <w:b/>
          <w:bCs/>
          <w:sz w:val="24"/>
          <w:szCs w:val="24"/>
        </w:rPr>
        <w:t xml:space="preserve"> нар</w:t>
      </w:r>
      <w:r w:rsidRPr="00745E2A">
        <w:rPr>
          <w:rFonts w:ascii="Arial" w:eastAsia="Times New Roman" w:hAnsi="Arial" w:cs="Arial"/>
          <w:b/>
          <w:sz w:val="24"/>
          <w:szCs w:val="24"/>
        </w:rPr>
        <w:t>ушений;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2. нарушения правил проезда пешеходных переходов – </w:t>
      </w:r>
      <w:r w:rsidRPr="00745E2A">
        <w:rPr>
          <w:rFonts w:ascii="Arial" w:eastAsia="Times New Roman" w:hAnsi="Arial" w:cs="Arial"/>
          <w:b/>
          <w:sz w:val="24"/>
          <w:szCs w:val="24"/>
        </w:rPr>
        <w:t xml:space="preserve">60 нарушений;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3. нарушения установленного скоростного режима – </w:t>
      </w:r>
      <w:r w:rsidRPr="00745E2A">
        <w:rPr>
          <w:rFonts w:ascii="Arial" w:eastAsia="Times New Roman" w:hAnsi="Arial" w:cs="Arial"/>
          <w:b/>
          <w:sz w:val="24"/>
          <w:szCs w:val="24"/>
        </w:rPr>
        <w:t>54 нарушения;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4. выезд на полосу встречного движения </w:t>
      </w:r>
      <w:r w:rsidRPr="00745E2A">
        <w:rPr>
          <w:rFonts w:ascii="Arial" w:eastAsia="Times New Roman" w:hAnsi="Arial" w:cs="Arial"/>
          <w:b/>
          <w:sz w:val="24"/>
          <w:szCs w:val="24"/>
        </w:rPr>
        <w:t>– 26 нарушений;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5. управление транспортными средствами в состоянии опьянения –                        </w:t>
      </w:r>
      <w:r w:rsidRPr="00745E2A">
        <w:rPr>
          <w:rFonts w:ascii="Arial" w:eastAsia="Times New Roman" w:hAnsi="Arial" w:cs="Arial"/>
          <w:b/>
          <w:sz w:val="24"/>
          <w:szCs w:val="24"/>
        </w:rPr>
        <w:t>29 нарушений;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6. нарушение правил перевозки пассажиров – </w:t>
      </w:r>
      <w:r w:rsidRPr="00745E2A">
        <w:rPr>
          <w:rFonts w:ascii="Arial" w:eastAsia="Times New Roman" w:hAnsi="Arial" w:cs="Arial"/>
          <w:b/>
          <w:sz w:val="24"/>
          <w:szCs w:val="24"/>
        </w:rPr>
        <w:t>7 нарушений.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               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5E2A">
        <w:rPr>
          <w:rFonts w:ascii="Arial" w:eastAsia="Times New Roman" w:hAnsi="Arial" w:cs="Arial"/>
          <w:b/>
          <w:sz w:val="24"/>
          <w:szCs w:val="24"/>
        </w:rPr>
        <w:t>Профилактическая работа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5E2A">
        <w:rPr>
          <w:rFonts w:ascii="Arial" w:eastAsia="Times New Roman" w:hAnsi="Arial" w:cs="Arial"/>
          <w:b/>
          <w:sz w:val="24"/>
          <w:szCs w:val="24"/>
        </w:rPr>
        <w:t>по линии пропаганды БДД за 9 месяцев 2018 года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Arial" w:eastAsia="Times New Roman" w:hAnsi="Arial" w:cs="Arial"/>
          <w:sz w:val="24"/>
          <w:szCs w:val="24"/>
        </w:rPr>
      </w:pP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 xml:space="preserve"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Подмосковья в течение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>За 9 месяцев 2018 года опубликовано (вышло в эфир) более 27,6 тыс. тематических материалов в федеральных, региональных и местных средствах массовой информации, из них 4435 статей выпущено в печатных СМИ, 4184 информации озвучено на радиостанциях, 4590 сюжетов показано на телевидении, 14439 материалов размещено в интернет-изданиях, в том числе на сайтах ГУОБДД МВД России и ГУ МВД России по Московской области.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ab/>
        <w:t xml:space="preserve">Руководящим составом подразделений Госавтоинспекции проведено 684 брифинга, пресс-конференции, «круглых стола» по тематике БДД. 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ab/>
        <w:t>Личным составом проведено 8356 профилактических бесед с воспитанниками дошкольных образовательных организаций, 8773 - с учащимися учреждений общего, 976 – с учащимися учреждений дополнительного образования, 817 - со студентами средних и высших учебных заведений.</w:t>
      </w:r>
    </w:p>
    <w:p w:rsidR="00745E2A" w:rsidRPr="00745E2A" w:rsidRDefault="00745E2A" w:rsidP="00745E2A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eastAsia="Times New Roman" w:hAnsi="Arial" w:cs="Arial"/>
          <w:sz w:val="24"/>
          <w:szCs w:val="24"/>
        </w:rPr>
      </w:pPr>
      <w:r w:rsidRPr="00745E2A">
        <w:rPr>
          <w:rFonts w:ascii="Arial" w:eastAsia="Times New Roman" w:hAnsi="Arial" w:cs="Arial"/>
          <w:sz w:val="24"/>
          <w:szCs w:val="24"/>
        </w:rPr>
        <w:tab/>
        <w:t>Всего организовано 3797 массовых информационно-пропагандистских мероприятий по профилактике дорожно-транспортных происшествий и снижению тяжести их последствий, из них 2547 по предупреждению детского дорожно-транспортного травматизма.</w:t>
      </w:r>
    </w:p>
    <w:p w:rsidR="00435A88" w:rsidRPr="00435A88" w:rsidRDefault="00435A88" w:rsidP="00745E2A">
      <w:pPr>
        <w:suppressAutoHyphens/>
        <w:spacing w:after="0" w:line="240" w:lineRule="auto"/>
        <w:jc w:val="center"/>
        <w:rPr>
          <w:rFonts w:ascii="Arial" w:hAnsi="Arial" w:cs="Arial"/>
          <w:szCs w:val="24"/>
        </w:rPr>
      </w:pPr>
    </w:p>
    <w:sectPr w:rsidR="00435A88" w:rsidRPr="00435A88" w:rsidSect="00A12E1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000000"/>
        <w:sz w:val="28"/>
        <w:szCs w:val="2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87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/>
        <w:i/>
        <w:sz w:val="28"/>
        <w:szCs w:val="28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5A4ECB"/>
    <w:multiLevelType w:val="hybridMultilevel"/>
    <w:tmpl w:val="33386BFC"/>
    <w:lvl w:ilvl="0" w:tplc="041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8" w15:restartNumberingAfterBreak="0">
    <w:nsid w:val="07840106"/>
    <w:multiLevelType w:val="hybridMultilevel"/>
    <w:tmpl w:val="C7606056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9" w15:restartNumberingAfterBreak="0">
    <w:nsid w:val="0D6C1686"/>
    <w:multiLevelType w:val="hybridMultilevel"/>
    <w:tmpl w:val="AD5AE1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C36CC"/>
    <w:multiLevelType w:val="hybridMultilevel"/>
    <w:tmpl w:val="90F0D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7141"/>
    <w:multiLevelType w:val="hybridMultilevel"/>
    <w:tmpl w:val="5176A6D4"/>
    <w:lvl w:ilvl="0" w:tplc="00000006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44D67875"/>
    <w:multiLevelType w:val="hybridMultilevel"/>
    <w:tmpl w:val="E06AF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84D23"/>
    <w:multiLevelType w:val="hybridMultilevel"/>
    <w:tmpl w:val="CC08E1E8"/>
    <w:lvl w:ilvl="0" w:tplc="DAA6CB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83"/>
    <w:rsid w:val="000104E7"/>
    <w:rsid w:val="000119E0"/>
    <w:rsid w:val="00022280"/>
    <w:rsid w:val="00024C2C"/>
    <w:rsid w:val="000461EA"/>
    <w:rsid w:val="000B7909"/>
    <w:rsid w:val="000F2D70"/>
    <w:rsid w:val="001568E4"/>
    <w:rsid w:val="00176B2C"/>
    <w:rsid w:val="00182B1F"/>
    <w:rsid w:val="001C7624"/>
    <w:rsid w:val="00235470"/>
    <w:rsid w:val="002615D8"/>
    <w:rsid w:val="002637CA"/>
    <w:rsid w:val="0027032F"/>
    <w:rsid w:val="002A21A0"/>
    <w:rsid w:val="002A4396"/>
    <w:rsid w:val="002C3DB5"/>
    <w:rsid w:val="002D77CD"/>
    <w:rsid w:val="00316629"/>
    <w:rsid w:val="00322824"/>
    <w:rsid w:val="00341EDF"/>
    <w:rsid w:val="00344C97"/>
    <w:rsid w:val="003A6400"/>
    <w:rsid w:val="003C68F7"/>
    <w:rsid w:val="00413E44"/>
    <w:rsid w:val="004221EB"/>
    <w:rsid w:val="004304C3"/>
    <w:rsid w:val="00435A88"/>
    <w:rsid w:val="004810CD"/>
    <w:rsid w:val="00490D10"/>
    <w:rsid w:val="00493744"/>
    <w:rsid w:val="004D61B0"/>
    <w:rsid w:val="00501A0C"/>
    <w:rsid w:val="00535F58"/>
    <w:rsid w:val="005528F1"/>
    <w:rsid w:val="005A426D"/>
    <w:rsid w:val="005A444E"/>
    <w:rsid w:val="005D3B55"/>
    <w:rsid w:val="005F2337"/>
    <w:rsid w:val="006349E7"/>
    <w:rsid w:val="00642147"/>
    <w:rsid w:val="00644820"/>
    <w:rsid w:val="00671A1D"/>
    <w:rsid w:val="006A54ED"/>
    <w:rsid w:val="006B42DE"/>
    <w:rsid w:val="006D4169"/>
    <w:rsid w:val="00742763"/>
    <w:rsid w:val="00745E2A"/>
    <w:rsid w:val="0076410E"/>
    <w:rsid w:val="00772ABC"/>
    <w:rsid w:val="007B13BB"/>
    <w:rsid w:val="007E102F"/>
    <w:rsid w:val="007F5971"/>
    <w:rsid w:val="00800AD4"/>
    <w:rsid w:val="008203D5"/>
    <w:rsid w:val="008A2879"/>
    <w:rsid w:val="008D0F5C"/>
    <w:rsid w:val="009358BE"/>
    <w:rsid w:val="00966276"/>
    <w:rsid w:val="00980C50"/>
    <w:rsid w:val="00981039"/>
    <w:rsid w:val="009C24B4"/>
    <w:rsid w:val="00A03691"/>
    <w:rsid w:val="00A12E19"/>
    <w:rsid w:val="00A42E70"/>
    <w:rsid w:val="00A6401E"/>
    <w:rsid w:val="00AD14AA"/>
    <w:rsid w:val="00B22324"/>
    <w:rsid w:val="00B2611E"/>
    <w:rsid w:val="00B2693F"/>
    <w:rsid w:val="00B511ED"/>
    <w:rsid w:val="00BB588D"/>
    <w:rsid w:val="00BC3AE2"/>
    <w:rsid w:val="00C5019F"/>
    <w:rsid w:val="00CA44CF"/>
    <w:rsid w:val="00CA5721"/>
    <w:rsid w:val="00CF2F77"/>
    <w:rsid w:val="00D17178"/>
    <w:rsid w:val="00D45676"/>
    <w:rsid w:val="00D54483"/>
    <w:rsid w:val="00D72342"/>
    <w:rsid w:val="00DC046C"/>
    <w:rsid w:val="00DE435D"/>
    <w:rsid w:val="00DE5BF0"/>
    <w:rsid w:val="00E054D3"/>
    <w:rsid w:val="00E07C1E"/>
    <w:rsid w:val="00E27108"/>
    <w:rsid w:val="00E5399D"/>
    <w:rsid w:val="00E546F8"/>
    <w:rsid w:val="00E54B67"/>
    <w:rsid w:val="00E61465"/>
    <w:rsid w:val="00E77860"/>
    <w:rsid w:val="00EE2B77"/>
    <w:rsid w:val="00F013BC"/>
    <w:rsid w:val="00F24695"/>
    <w:rsid w:val="00F26499"/>
    <w:rsid w:val="00F3130B"/>
    <w:rsid w:val="00F700C3"/>
    <w:rsid w:val="00F71D50"/>
    <w:rsid w:val="00F80590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9715"/>
  <w15:docId w15:val="{D60D7F03-688C-49DD-94F9-37F17E8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DE"/>
  </w:style>
  <w:style w:type="paragraph" w:styleId="1">
    <w:name w:val="heading 1"/>
    <w:basedOn w:val="a"/>
    <w:next w:val="a"/>
    <w:link w:val="10"/>
    <w:qFormat/>
    <w:rsid w:val="00A640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401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640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F2469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40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401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640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rsid w:val="00A640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6401E"/>
    <w:rPr>
      <w:rFonts w:ascii="Tahoma" w:eastAsia="Times New Roman" w:hAnsi="Tahoma" w:cs="Tahoma"/>
      <w:sz w:val="16"/>
      <w:szCs w:val="16"/>
    </w:rPr>
  </w:style>
  <w:style w:type="paragraph" w:styleId="a7">
    <w:name w:val="caption"/>
    <w:basedOn w:val="a"/>
    <w:qFormat/>
    <w:rsid w:val="00A640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"/>
    <w:basedOn w:val="a"/>
    <w:link w:val="a9"/>
    <w:rsid w:val="00A640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A6401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A640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401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64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6401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A6401E"/>
  </w:style>
  <w:style w:type="character" w:customStyle="1" w:styleId="apple-converted-space">
    <w:name w:val="apple-converted-space"/>
    <w:rsid w:val="00A6401E"/>
  </w:style>
  <w:style w:type="paragraph" w:styleId="af">
    <w:name w:val="header"/>
    <w:basedOn w:val="a"/>
    <w:link w:val="af0"/>
    <w:rsid w:val="00A64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A6401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6401E"/>
    <w:pPr>
      <w:widowControl w:val="0"/>
      <w:autoSpaceDE w:val="0"/>
      <w:autoSpaceDN w:val="0"/>
      <w:adjustRightInd w:val="0"/>
      <w:spacing w:after="0" w:line="464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CF2F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BB588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03691"/>
  </w:style>
  <w:style w:type="paragraph" w:customStyle="1" w:styleId="22">
    <w:name w:val="Основной текст с отступом 22"/>
    <w:basedOn w:val="a"/>
    <w:rsid w:val="00A036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1">
    <w:name w:val="Нет списка2"/>
    <w:next w:val="a2"/>
    <w:semiHidden/>
    <w:unhideWhenUsed/>
    <w:rsid w:val="000104E7"/>
  </w:style>
  <w:style w:type="table" w:customStyle="1" w:styleId="12">
    <w:name w:val="Сетка таблицы1"/>
    <w:basedOn w:val="a1"/>
    <w:next w:val="a3"/>
    <w:rsid w:val="0001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F013BC"/>
  </w:style>
  <w:style w:type="numbering" w:customStyle="1" w:styleId="41">
    <w:name w:val="Нет списка4"/>
    <w:next w:val="a2"/>
    <w:semiHidden/>
    <w:unhideWhenUsed/>
    <w:rsid w:val="004221EB"/>
  </w:style>
  <w:style w:type="table" w:customStyle="1" w:styleId="23">
    <w:name w:val="Сетка таблицы2"/>
    <w:basedOn w:val="a1"/>
    <w:next w:val="a3"/>
    <w:rsid w:val="0042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unhideWhenUsed/>
    <w:rsid w:val="00F26499"/>
  </w:style>
  <w:style w:type="table" w:customStyle="1" w:styleId="30">
    <w:name w:val="Сетка таблицы3"/>
    <w:basedOn w:val="a1"/>
    <w:next w:val="a3"/>
    <w:rsid w:val="00F2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semiHidden/>
    <w:unhideWhenUsed/>
    <w:rsid w:val="00A12E19"/>
  </w:style>
  <w:style w:type="paragraph" w:customStyle="1" w:styleId="13">
    <w:name w:val="Обычный1"/>
    <w:rsid w:val="00A12E19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2">
    <w:name w:val="Сетка таблицы4"/>
    <w:basedOn w:val="a1"/>
    <w:next w:val="a3"/>
    <w:rsid w:val="00A12E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A12E1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Strong"/>
    <w:qFormat/>
    <w:rsid w:val="00A12E19"/>
    <w:rPr>
      <w:b/>
      <w:bCs/>
    </w:rPr>
  </w:style>
  <w:style w:type="table" w:customStyle="1" w:styleId="110">
    <w:name w:val="Сетка таблицы11"/>
    <w:basedOn w:val="a1"/>
    <w:next w:val="a3"/>
    <w:rsid w:val="00A12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5528F1"/>
  </w:style>
  <w:style w:type="numbering" w:customStyle="1" w:styleId="8">
    <w:name w:val="Нет списка8"/>
    <w:next w:val="a2"/>
    <w:semiHidden/>
    <w:unhideWhenUsed/>
    <w:rsid w:val="006A54ED"/>
  </w:style>
  <w:style w:type="table" w:customStyle="1" w:styleId="50">
    <w:name w:val="Сетка таблицы5"/>
    <w:basedOn w:val="a1"/>
    <w:next w:val="a3"/>
    <w:rsid w:val="006A54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rsid w:val="006A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 объекта1"/>
    <w:basedOn w:val="a"/>
    <w:rsid w:val="00435A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image" Target="media/image2.jpeg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4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01045296167246E-2"/>
          <c:y val="0.17898832684824914"/>
          <c:w val="0.37979094076655051"/>
          <c:h val="0.334630350194552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7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FF0000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EE0-43A2-BF89-58FC02C09D5E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EE0-43A2-BF89-58FC02C09D5E}"/>
              </c:ext>
            </c:extLst>
          </c:dPt>
          <c:dPt>
            <c:idx val="2"/>
            <c:bubble3D val="0"/>
            <c:spPr>
              <a:solidFill>
                <a:srgbClr val="0000FF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7EE0-43A2-BF89-58FC02C09D5E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EE0-43A2-BF89-58FC02C09D5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EE0-43A2-BF89-58FC02C09D5E}"/>
              </c:ext>
            </c:extLst>
          </c:dPt>
          <c:dPt>
            <c:idx val="6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7EE0-43A2-BF89-58FC02C09D5E}"/>
              </c:ext>
            </c:extLst>
          </c:dPt>
          <c:dPt>
            <c:idx val="7"/>
            <c:bubble3D val="0"/>
            <c:spPr>
              <a:solidFill>
                <a:srgbClr val="FF6600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7EE0-43A2-BF89-58FC02C09D5E}"/>
              </c:ext>
            </c:extLst>
          </c:dPt>
          <c:dLbls>
            <c:dLbl>
              <c:idx val="0"/>
              <c:layout>
                <c:manualLayout>
                  <c:x val="6.9686411149825923E-3"/>
                  <c:y val="0.2291965392558486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E0-43A2-BF89-58FC02C09D5E}"/>
                </c:ext>
              </c:extLst>
            </c:dLbl>
            <c:dLbl>
              <c:idx val="1"/>
              <c:layout>
                <c:manualLayout>
                  <c:x val="5.2419869399368844E-2"/>
                  <c:y val="-7.62144234048334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E0-43A2-BF89-58FC02C09D5E}"/>
                </c:ext>
              </c:extLst>
            </c:dLbl>
            <c:dLbl>
              <c:idx val="2"/>
              <c:layout>
                <c:manualLayout>
                  <c:x val="4.911200432170882E-2"/>
                  <c:y val="1.06126757111297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E0-43A2-BF89-58FC02C09D5E}"/>
                </c:ext>
              </c:extLst>
            </c:dLbl>
            <c:dLbl>
              <c:idx val="3"/>
              <c:layout>
                <c:manualLayout>
                  <c:x val="-2.5671699974099654E-2"/>
                  <c:y val="0.2216396054904777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EE0-43A2-BF89-58FC02C09D5E}"/>
                </c:ext>
              </c:extLst>
            </c:dLbl>
            <c:dLbl>
              <c:idx val="4"/>
              <c:layout>
                <c:manualLayout>
                  <c:x val="-4.7206804616009908E-2"/>
                  <c:y val="9.32544263109886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EE0-43A2-BF89-58FC02C09D5E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10627177700348445"/>
                  <c:y val="0.4280155642023348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EE0-43A2-BF89-58FC02C09D5E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8.5365853658536647E-2"/>
                  <c:y val="0.3035019455252918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EE0-43A2-BF89-58FC02C09D5E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5.4006968641114997E-2"/>
                  <c:y val="0.3852140077821014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EE0-43A2-BF89-58FC02C09D5E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6.0975609756097567E-2"/>
                  <c:y val="0.509727626459144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EE0-43A2-BF89-58FC02C09D5E}"/>
                </c:ext>
              </c:extLst>
            </c:dLbl>
            <c:numFmt formatCode="0%" sourceLinked="0"/>
            <c:spPr>
              <a:noFill/>
              <a:ln w="25414">
                <a:noFill/>
              </a:ln>
            </c:spPr>
            <c:txPr>
              <a:bodyPr/>
              <a:lstStyle/>
              <a:p>
                <a:pPr algn="l">
                  <a:defRPr sz="12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Наезд на пешехода (146 ДТП, 36%)</c:v>
                </c:pt>
                <c:pt idx="1">
                  <c:v>Столкновение (174 ДТП, 43%)</c:v>
                </c:pt>
                <c:pt idx="2">
                  <c:v>Опрокидывание (9 ДТП, 2%)</c:v>
                </c:pt>
                <c:pt idx="3">
                  <c:v>Наезд на препятствие (20 ДТП, 5%)</c:v>
                </c:pt>
                <c:pt idx="4">
                  <c:v>Прочие виды (56 ДТП, 14%)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146</c:v>
                </c:pt>
                <c:pt idx="1">
                  <c:v>174</c:v>
                </c:pt>
                <c:pt idx="2">
                  <c:v>9</c:v>
                </c:pt>
                <c:pt idx="3">
                  <c:v>20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EE0-43A2-BF89-58FC02C09D5E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eparator>
</c:separator>
          <c:showLeaderLines val="1"/>
        </c:dLbls>
      </c:pie3DChart>
      <c:spPr>
        <a:noFill/>
        <a:ln w="25414">
          <a:noFill/>
        </a:ln>
      </c:spPr>
    </c:plotArea>
    <c:legend>
      <c:legendPos val="r"/>
      <c:layout>
        <c:manualLayout>
          <c:xMode val="edge"/>
          <c:yMode val="edge"/>
          <c:x val="0.49303135888501726"/>
          <c:y val="3.1128404669260701E-2"/>
          <c:w val="0.50696864111498252"/>
          <c:h val="0.68871595330739355"/>
        </c:manualLayout>
      </c:layout>
      <c:overlay val="0"/>
      <c:spPr>
        <a:noFill/>
        <a:ln w="25414">
          <a:noFill/>
        </a:ln>
      </c:spPr>
      <c:txPr>
        <a:bodyPr/>
        <a:lstStyle/>
        <a:p>
          <a:pPr>
            <a:defRPr sz="110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77142857142857246"/>
          <c:y val="6.8493150684931538E-3"/>
        </c:manualLayout>
      </c:layout>
      <c:overlay val="0"/>
      <c:spPr>
        <a:noFill/>
        <a:ln w="2542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816326530612335E-3"/>
          <c:y val="0.1164383561643835"/>
          <c:w val="0.45714285714285746"/>
          <c:h val="0.7671232876712328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00"/>
            </a:solidFill>
            <a:ln w="1271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CC00"/>
              </a:solidFill>
              <a:ln w="1271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FB9-4C94-BB58-51AC41343862}"/>
              </c:ext>
            </c:extLst>
          </c:dPt>
          <c:dLbls>
            <c:dLbl>
              <c:idx val="0"/>
              <c:layout>
                <c:manualLayout>
                  <c:x val="-0.15399018960238095"/>
                  <c:y val="0.1582399355362918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B9-4C94-BB58-51AC41343862}"/>
                </c:ext>
              </c:extLst>
            </c:dLbl>
            <c:dLbl>
              <c:idx val="1"/>
              <c:layout>
                <c:manualLayout>
                  <c:x val="0.14285714285714299"/>
                  <c:y val="-0.3224964838521564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B9-4C94-BB58-51AC41343862}"/>
                </c:ext>
              </c:extLst>
            </c:dLbl>
            <c:numFmt formatCode="0%" sourceLinked="0"/>
            <c:spPr>
              <a:noFill/>
              <a:ln w="25420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29</c:v>
                </c:pt>
                <c:pt idx="1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B9-4C94-BB58-51AC413438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20">
          <a:noFill/>
        </a:ln>
      </c:spPr>
    </c:plotArea>
    <c:legend>
      <c:legendPos val="r"/>
      <c:layout>
        <c:manualLayout>
          <c:xMode val="edge"/>
          <c:yMode val="edge"/>
          <c:x val="0.5020408163265313"/>
          <c:y val="0.29452054794520588"/>
          <c:w val="0.47755102040816305"/>
          <c:h val="0.65753424657534265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34817813765186"/>
          <c:y val="6.711409395973169E-3"/>
        </c:manualLayout>
      </c:layout>
      <c:overlay val="0"/>
      <c:spPr>
        <a:noFill/>
        <a:ln w="253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485829959514205E-3"/>
          <c:y val="8.7248322147651075E-2"/>
          <c:w val="0.48987854251012147"/>
          <c:h val="0.812080536912751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6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A11-4A11-95CA-22E1645198FC}"/>
              </c:ext>
            </c:extLst>
          </c:dPt>
          <c:dLbls>
            <c:numFmt formatCode="0%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до 7 лет</c:v>
                </c:pt>
                <c:pt idx="1">
                  <c:v>от 7 до 16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132</c:v>
                </c:pt>
                <c:pt idx="1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11-4A11-95CA-22E1645198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50607287449392713"/>
          <c:y val="0.29530201342281903"/>
          <c:w val="0.43319838056680182"/>
          <c:h val="0.60402684563758435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42424242424265"/>
          <c:y val="6.7567567567567571E-3"/>
        </c:manualLayout>
      </c:layout>
      <c:overlay val="0"/>
      <c:spPr>
        <a:noFill/>
        <a:ln w="253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878787878787915E-3"/>
          <c:y val="3.3783783783783786E-2"/>
          <c:w val="0.51515151515151514"/>
          <c:h val="0.9189189189189189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460-4307-A51A-5DAFAD1187E8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460-4307-A51A-5DAFAD1187E8}"/>
              </c:ext>
            </c:extLst>
          </c:dPt>
          <c:dPt>
            <c:idx val="3"/>
            <c:bubble3D val="0"/>
            <c:spPr>
              <a:solidFill>
                <a:srgbClr val="FF6600"/>
              </a:solidFill>
              <a:ln w="1268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460-4307-A51A-5DAFAD1187E8}"/>
              </c:ext>
            </c:extLst>
          </c:dPt>
          <c:dLbls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132</c:v>
                </c:pt>
                <c:pt idx="1">
                  <c:v>106</c:v>
                </c:pt>
                <c:pt idx="2">
                  <c:v>95</c:v>
                </c:pt>
                <c:pt idx="3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60-4307-A51A-5DAFAD1187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53409090909090906"/>
          <c:y val="0.31756756756756793"/>
          <c:w val="0.40530303030303028"/>
          <c:h val="0.6081081081081085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9"/>
      <c:rotY val="20"/>
      <c:depthPercent val="1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8095238095238099E-2"/>
          <c:y val="2.5000000000000001E-2"/>
          <c:w val="0.84126984126984161"/>
          <c:h val="0.818750000000000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Ясно</c:v>
                </c:pt>
              </c:strCache>
            </c:strRef>
          </c:tx>
          <c:spPr>
            <a:solidFill>
              <a:srgbClr val="FFFF00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993972083764812E-2"/>
                  <c:y val="-1.4998420240742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02-462D-A421-B0A2F327EC04}"/>
                </c:ext>
              </c:extLst>
            </c:dLbl>
            <c:dLbl>
              <c:idx val="1"/>
              <c:layout>
                <c:manualLayout>
                  <c:x val="1.3909267909484617E-2"/>
                  <c:y val="-5.1382250630354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02-462D-A421-B0A2F327EC04}"/>
                </c:ext>
              </c:extLst>
            </c:dLbl>
            <c:dLbl>
              <c:idx val="2"/>
              <c:layout>
                <c:manualLayout>
                  <c:x val="2.5302112465299814E-2"/>
                  <c:y val="6.647514570051761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02-462D-A421-B0A2F327EC04}"/>
                </c:ext>
              </c:extLst>
            </c:dLbl>
            <c:numFmt formatCode="@" sourceLinked="0"/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495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287</c:v>
                </c:pt>
                <c:pt idx="1">
                  <c:v>9</c:v>
                </c:pt>
                <c:pt idx="2">
                  <c:v>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02-462D-A421-B0A2F327EC0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solidFill>
              <a:srgbClr val="993366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164014631615599E-2"/>
                  <c:y val="-6.293079415427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02-462D-A421-B0A2F327EC04}"/>
                </c:ext>
              </c:extLst>
            </c:dLbl>
            <c:dLbl>
              <c:idx val="1"/>
              <c:layout>
                <c:manualLayout>
                  <c:x val="1.5104127413597941E-2"/>
                  <c:y val="-6.2153033757287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02-462D-A421-B0A2F327EC04}"/>
                </c:ext>
              </c:extLst>
            </c:dLbl>
            <c:dLbl>
              <c:idx val="2"/>
              <c:layout>
                <c:manualLayout>
                  <c:x val="1.794818131053048E-2"/>
                  <c:y val="-4.0228104846453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02-462D-A421-B0A2F327EC04}"/>
                </c:ext>
              </c:extLst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89</c:v>
                </c:pt>
                <c:pt idx="1">
                  <c:v>4</c:v>
                </c:pt>
                <c:pt idx="2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B02-462D-A421-B0A2F327EC0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rgbClr val="000080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5503465528027232E-3"/>
                  <c:y val="-7.5240758408346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02-462D-A421-B0A2F327EC04}"/>
                </c:ext>
              </c:extLst>
            </c:dLbl>
            <c:dLbl>
              <c:idx val="1"/>
              <c:layout>
                <c:manualLayout>
                  <c:x val="9.0142688585945485E-3"/>
                  <c:y val="-7.521396445231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02-462D-A421-B0A2F327EC04}"/>
                </c:ext>
              </c:extLst>
            </c:dLbl>
            <c:dLbl>
              <c:idx val="2"/>
              <c:layout>
                <c:manualLayout>
                  <c:x val="7.4721164441601655E-4"/>
                  <c:y val="-6.6720861185624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B02-462D-A421-B0A2F327EC04}"/>
                </c:ext>
              </c:extLst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B02-462D-A421-B0A2F327EC0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Снегопад</c:v>
                </c:pt>
              </c:strCache>
            </c:strRef>
          </c:tx>
          <c:spPr>
            <a:solidFill>
              <a:srgbClr val="FFFF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71434930099917E-2"/>
                  <c:y val="-4.7409930490592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B02-462D-A421-B0A2F327EC04}"/>
                </c:ext>
              </c:extLst>
            </c:dLbl>
            <c:dLbl>
              <c:idx val="1"/>
              <c:layout>
                <c:manualLayout>
                  <c:x val="9.2734524739871323E-3"/>
                  <c:y val="-7.123386167504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B02-462D-A421-B0A2F327EC04}"/>
                </c:ext>
              </c:extLst>
            </c:dLbl>
            <c:dLbl>
              <c:idx val="2"/>
              <c:layout>
                <c:manualLayout>
                  <c:x val="8.9429031963167791E-3"/>
                  <c:y val="-3.2640033267871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B02-462D-A421-B0A2F327EC04}"/>
                </c:ext>
              </c:extLst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FB02-462D-A421-B0A2F327EC0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Туман</c:v>
                </c:pt>
              </c:strCache>
            </c:strRef>
          </c:tx>
          <c:spPr>
            <a:solidFill>
              <a:srgbClr val="00FF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0888880758132E-2"/>
                  <c:y val="-3.7713964452319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B02-462D-A421-B0A2F327EC04}"/>
                </c:ext>
              </c:extLst>
            </c:dLbl>
            <c:dLbl>
              <c:idx val="1"/>
              <c:layout>
                <c:manualLayout>
                  <c:x val="1.5882006617396405E-2"/>
                  <c:y val="-7.7483861675040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B02-462D-A421-B0A2F327EC04}"/>
                </c:ext>
              </c:extLst>
            </c:dLbl>
            <c:dLbl>
              <c:idx val="2"/>
              <c:layout>
                <c:manualLayout>
                  <c:x val="5.131150724591518E-3"/>
                  <c:y val="-2.5213964452319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B02-462D-A421-B0A2F327EC04}"/>
                </c:ext>
              </c:extLst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FB02-462D-A421-B0A2F327EC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0"/>
        <c:gapDepth val="0"/>
        <c:shape val="box"/>
        <c:axId val="206330248"/>
        <c:axId val="206330640"/>
        <c:axId val="0"/>
      </c:bar3DChart>
      <c:catAx>
        <c:axId val="206330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6330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330640"/>
        <c:scaling>
          <c:orientation val="minMax"/>
          <c:max val="330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ys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6330248"/>
        <c:crosses val="autoZero"/>
        <c:crossBetween val="between"/>
        <c:majorUnit val="30"/>
        <c:minorUnit val="5"/>
      </c:valAx>
      <c:spPr>
        <a:noFill/>
        <a:ln w="25319">
          <a:noFill/>
        </a:ln>
      </c:spPr>
    </c:plotArea>
    <c:legend>
      <c:legendPos val="r"/>
      <c:layout>
        <c:manualLayout>
          <c:xMode val="edge"/>
          <c:yMode val="edge"/>
          <c:x val="0.82698412698412693"/>
          <c:y val="0.20625000000000004"/>
          <c:w val="0.17142857142857137"/>
          <c:h val="0.6625000000000004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789473684210593"/>
          <c:y val="7.4074074074074094E-3"/>
        </c:manualLayout>
      </c:layout>
      <c:overlay val="0"/>
      <c:spPr>
        <a:noFill/>
        <a:ln w="2534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2631578947368463E-3"/>
          <c:y val="0.2592592592592593"/>
          <c:w val="0.33157894736842158"/>
          <c:h val="0.4666666666666669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A5D-44AD-BB6B-9B1C5958FB0F}"/>
              </c:ext>
            </c:extLst>
          </c:dPt>
          <c:dLbls>
            <c:dLbl>
              <c:idx val="1"/>
              <c:layout>
                <c:manualLayout>
                  <c:x val="1.5789473684210548E-2"/>
                  <c:y val="-6.92395973067233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5D-44AD-BB6B-9B1C5958FB0F}"/>
                </c:ext>
              </c:extLst>
            </c:dLbl>
            <c:numFmt formatCode="0%" sourceLinked="0"/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161</c:v>
                </c:pt>
                <c:pt idx="1">
                  <c:v>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5D-44AD-BB6B-9B1C5958FB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40">
          <a:noFill/>
        </a:ln>
      </c:spPr>
    </c:plotArea>
    <c:legend>
      <c:legendPos val="r"/>
      <c:layout>
        <c:manualLayout>
          <c:xMode val="edge"/>
          <c:yMode val="edge"/>
          <c:x val="0.35789473684210532"/>
          <c:y val="0.22222222222222221"/>
          <c:w val="0.61578947368421144"/>
          <c:h val="0.71111111111111114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7202072538860107"/>
          <c:y val="7.6923076923076971E-3"/>
        </c:manualLayout>
      </c:layout>
      <c:overlay val="0"/>
      <c:spPr>
        <a:noFill/>
        <a:ln w="253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813471502590754E-3"/>
          <c:y val="0.2461538461538462"/>
          <c:w val="0.33678756476683958"/>
          <c:h val="0.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F23-4CFD-BE7C-586BF9BC0612}"/>
              </c:ext>
            </c:extLst>
          </c:dPt>
          <c:dLbls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23-4CFD-BE7C-586BF9BC06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36787564766839381"/>
          <c:y val="0.21538461538461537"/>
          <c:w val="0.60103626943005151"/>
          <c:h val="0.7384615384615386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  </a:t>
            </a:r>
          </a:p>
        </c:rich>
      </c:tx>
      <c:layout>
        <c:manualLayout>
          <c:xMode val="edge"/>
          <c:yMode val="edge"/>
          <c:x val="0.75247524752475303"/>
          <c:y val="7.6923076923076971E-3"/>
        </c:manualLayout>
      </c:layout>
      <c:overlay val="0"/>
      <c:spPr>
        <a:noFill/>
        <a:ln w="253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504950495049514E-3"/>
          <c:y val="0.21538461538461537"/>
          <c:w val="0.36138613861386176"/>
          <c:h val="0.561538461538461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5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3EE-40B3-9BA5-2EDB73CE5DB3}"/>
              </c:ext>
            </c:extLst>
          </c:dPt>
          <c:dLbls>
            <c:numFmt formatCode="0%" sourceLinked="0"/>
            <c:spPr>
              <a:noFill/>
              <a:ln w="25304">
                <a:noFill/>
              </a:ln>
            </c:spPr>
            <c:txPr>
              <a:bodyPr/>
              <a:lstStyle/>
              <a:p>
                <a:pPr>
                  <a:defRPr sz="104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161</c:v>
                </c:pt>
                <c:pt idx="1">
                  <c:v>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EE-40B3-9BA5-2EDB73CE5DB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04">
          <a:noFill/>
        </a:ln>
      </c:spPr>
    </c:plotArea>
    <c:legend>
      <c:legendPos val="r"/>
      <c:layout>
        <c:manualLayout>
          <c:xMode val="edge"/>
          <c:yMode val="edge"/>
          <c:x val="0.39603960396039628"/>
          <c:y val="0.22307692307692309"/>
          <c:w val="0.57425742574257421"/>
          <c:h val="0.7846153846153846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534591194968612"/>
          <c:y val="0"/>
        </c:manualLayout>
      </c:layout>
      <c:overlay val="0"/>
      <c:spPr>
        <a:noFill/>
        <a:ln w="2531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61006289308172E-2"/>
          <c:y val="3.2258064516129059E-2"/>
          <c:w val="0.45911949685534592"/>
          <c:h val="0.941935483870967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707-41D5-8991-2CAFF91D2C38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6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707-41D5-8991-2CAFF91D2C38}"/>
              </c:ext>
            </c:extLst>
          </c:dPt>
          <c:dLbls>
            <c:dLbl>
              <c:idx val="0"/>
              <c:layout>
                <c:manualLayout>
                  <c:x val="-0.14077619575043127"/>
                  <c:y val="0.1225806451612904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07-41D5-8991-2CAFF91D2C38}"/>
                </c:ext>
              </c:extLst>
            </c:dLbl>
            <c:dLbl>
              <c:idx val="2"/>
              <c:layout>
                <c:manualLayout>
                  <c:x val="0.13522012578616363"/>
                  <c:y val="-2.9173693207540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07-41D5-8991-2CAFF91D2C38}"/>
                </c:ext>
              </c:extLst>
            </c:dLbl>
            <c:numFmt formatCode="0%" sourceLinked="0"/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69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местная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90</c:v>
                </c:pt>
                <c:pt idx="1">
                  <c:v>125</c:v>
                </c:pt>
                <c:pt idx="2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707-41D5-8991-2CAFF91D2C3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19">
          <a:noFill/>
        </a:ln>
      </c:spPr>
    </c:plotArea>
    <c:legend>
      <c:legendPos val="r"/>
      <c:layout>
        <c:manualLayout>
          <c:xMode val="edge"/>
          <c:yMode val="edge"/>
          <c:x val="0.55660377358490565"/>
          <c:y val="0.22580645161290333"/>
          <c:w val="0.37735849056603782"/>
          <c:h val="0.6709677419354839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661654135338364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390977443609068E-2"/>
          <c:y val="3.5211267605633832E-2"/>
          <c:w val="0.50375939849624052"/>
          <c:h val="0.9436619718309858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D45-4FC0-BCE9-F52C761FFA4E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0D45-4FC0-BCE9-F52C761FFA4E}"/>
              </c:ext>
            </c:extLst>
          </c:dPt>
          <c:dLbls>
            <c:dLbl>
              <c:idx val="1"/>
              <c:layout>
                <c:manualLayout>
                  <c:x val="9.3984962406015116E-2"/>
                  <c:y val="-0.268547742908512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45-4FC0-BCE9-F52C761FFA4E}"/>
                </c:ext>
              </c:extLst>
            </c:dLbl>
            <c:dLbl>
              <c:idx val="2"/>
              <c:layout>
                <c:manualLayout>
                  <c:x val="9.5795844467829044E-2"/>
                  <c:y val="6.33802816901408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45-4FC0-BCE9-F52C761FFA4E}"/>
                </c:ext>
              </c:extLst>
            </c:dLbl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6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45-4FC0-BCE9-F52C761FFA4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51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666666666666663"/>
          <c:y val="0"/>
        </c:manualLayout>
      </c:layout>
      <c:overlay val="0"/>
      <c:spPr>
        <a:noFill/>
        <a:ln w="253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387596899224854E-2"/>
          <c:y val="3.5460992907801435E-2"/>
          <c:w val="0.51550387596899228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681-4268-8AD3-D77D0BAAC96A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3681-4268-8AD3-D77D0BAAC96A}"/>
              </c:ext>
            </c:extLst>
          </c:dPt>
          <c:dLbls>
            <c:dLbl>
              <c:idx val="1"/>
              <c:layout>
                <c:manualLayout>
                  <c:x val="-0.15164365528161658"/>
                  <c:y val="-0.185834381826945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81-4268-8AD3-D77D0BAAC96A}"/>
                </c:ext>
              </c:extLst>
            </c:dLbl>
            <c:dLbl>
              <c:idx val="2"/>
              <c:layout>
                <c:manualLayout>
                  <c:x val="6.9767441860465157E-2"/>
                  <c:y val="-5.786521032394939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81-4268-8AD3-D77D0BAAC96A}"/>
                </c:ext>
              </c:extLst>
            </c:dLbl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65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116</c:v>
                </c:pt>
                <c:pt idx="1">
                  <c:v>136</c:v>
                </c:pt>
                <c:pt idx="2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81-4268-8AD3-D77D0BAAC96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94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321243523316068"/>
          <c:y val="0"/>
        </c:manualLayout>
      </c:layout>
      <c:overlay val="0"/>
      <c:spPr>
        <a:noFill/>
        <a:ln w="252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0310880829015482E-2"/>
          <c:y val="5.4187192118226667E-2"/>
          <c:w val="0.4844559585492228"/>
          <c:h val="0.92118226600985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C15-400F-8012-923ADC935365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4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C15-400F-8012-923ADC935365}"/>
              </c:ext>
            </c:extLst>
          </c:dPt>
          <c:dLbls>
            <c:dLbl>
              <c:idx val="1"/>
              <c:layout>
                <c:manualLayout>
                  <c:x val="0.13730569948186538"/>
                  <c:y val="2.5051167024700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15-400F-8012-923ADC935365}"/>
                </c:ext>
              </c:extLst>
            </c:dLbl>
            <c:dLbl>
              <c:idx val="2"/>
              <c:layout>
                <c:manualLayout>
                  <c:x val="0.11632939796952395"/>
                  <c:y val="0.1280788177339901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15-400F-8012-923ADC935365}"/>
                </c:ext>
              </c:extLst>
            </c:dLbl>
            <c:numFmt formatCode="0%" sourceLinked="0"/>
            <c:spPr>
              <a:noFill/>
              <a:ln w="25289">
                <a:noFill/>
              </a:ln>
            </c:spPr>
            <c:txPr>
              <a:bodyPr/>
              <a:lstStyle/>
              <a:p>
                <a:pPr>
                  <a:defRPr sz="156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15-400F-8012-923ADC9353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9">
          <a:noFill/>
        </a:ln>
      </c:spPr>
    </c:plotArea>
    <c:legend>
      <c:legendPos val="r"/>
      <c:layout>
        <c:manualLayout>
          <c:xMode val="edge"/>
          <c:yMode val="edge"/>
          <c:x val="0.6113989637305699"/>
          <c:y val="0.38916256157635504"/>
          <c:w val="0.38341968911917146"/>
          <c:h val="0.49753694581280827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137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324232081911266E-3"/>
          <c:y val="2.2727272727272766E-2"/>
          <c:w val="0.9914675767918083"/>
          <c:h val="0.806818181818181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800000"/>
              </a:solidFill>
              <a:ln w="126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0D8-499D-B3B7-93DE1FB47EF0}"/>
              </c:ext>
            </c:extLst>
          </c:dPt>
          <c:dPt>
            <c:idx val="5"/>
            <c:invertIfNegative val="0"/>
            <c:bubble3D val="0"/>
            <c:spPr>
              <a:solidFill>
                <a:srgbClr val="FF6600"/>
              </a:solidFill>
              <a:ln w="126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0D8-499D-B3B7-93DE1FB47EF0}"/>
              </c:ext>
            </c:extLst>
          </c:dPt>
          <c:dLbls>
            <c:dLbl>
              <c:idx val="0"/>
              <c:layout>
                <c:manualLayout>
                  <c:x val="5.7069546557561121E-2"/>
                  <c:y val="-4.0947070546855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0D8-499D-B3B7-93DE1FB47EF0}"/>
                </c:ext>
              </c:extLst>
            </c:dLbl>
            <c:dLbl>
              <c:idx val="1"/>
              <c:layout>
                <c:manualLayout>
                  <c:x val="5.2740176768749557E-2"/>
                  <c:y val="-4.0040837766436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0D8-499D-B3B7-93DE1FB47EF0}"/>
                </c:ext>
              </c:extLst>
            </c:dLbl>
            <c:dLbl>
              <c:idx val="2"/>
              <c:layout>
                <c:manualLayout>
                  <c:x val="4.6704322338299631E-2"/>
                  <c:y val="-2.0764961402388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0D8-499D-B3B7-93DE1FB47EF0}"/>
                </c:ext>
              </c:extLst>
            </c:dLbl>
            <c:dLbl>
              <c:idx val="3"/>
              <c:layout>
                <c:manualLayout>
                  <c:x val="4.0668467907849844E-2"/>
                  <c:y val="-7.0124019610367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D8-499D-B3B7-93DE1FB47EF0}"/>
                </c:ext>
              </c:extLst>
            </c:dLbl>
            <c:dLbl>
              <c:idx val="4"/>
              <c:layout>
                <c:manualLayout>
                  <c:x val="5.4958625465222323E-2"/>
                  <c:y val="-1.766346693582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D8-499D-B3B7-93DE1FB47EF0}"/>
                </c:ext>
              </c:extLst>
            </c:dLbl>
            <c:dLbl>
              <c:idx val="5"/>
              <c:layout>
                <c:manualLayout>
                  <c:x val="3.5422874002744756E-2"/>
                  <c:y val="-3.446449998197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D8-499D-B3B7-93DE1FB47EF0}"/>
                </c:ext>
              </c:extLst>
            </c:dLbl>
            <c:dLbl>
              <c:idx val="6"/>
              <c:layout>
                <c:manualLayout>
                  <c:x val="3.279998885557129E-2"/>
                  <c:y val="-3.8472793704907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0D8-499D-B3B7-93DE1FB47EF0}"/>
                </c:ext>
              </c:extLst>
            </c:dLbl>
            <c:spPr>
              <a:noFill/>
              <a:ln w="25310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18</c:v>
                </c:pt>
                <c:pt idx="1">
                  <c:v>20</c:v>
                </c:pt>
                <c:pt idx="2">
                  <c:v>50</c:v>
                </c:pt>
                <c:pt idx="3">
                  <c:v>79</c:v>
                </c:pt>
                <c:pt idx="4">
                  <c:v>107</c:v>
                </c:pt>
                <c:pt idx="5">
                  <c:v>95</c:v>
                </c:pt>
                <c:pt idx="6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0D8-499D-B3B7-93DE1FB47E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6333776"/>
        <c:axId val="206334168"/>
        <c:axId val="0"/>
      </c:bar3DChart>
      <c:catAx>
        <c:axId val="20633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334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3341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06333776"/>
        <c:crosses val="autoZero"/>
        <c:crossBetween val="between"/>
      </c:valAx>
      <c:spPr>
        <a:noFill/>
        <a:ln w="25310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4"/>
      <c:hPercent val="3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789868667917388E-2"/>
          <c:y val="4.7368421052631712E-2"/>
          <c:w val="0.91744840525328364"/>
          <c:h val="0.773684210526316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FF6600"/>
              </a:solidFill>
              <a:ln w="1267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B8A-4753-B87B-5BC41E5D64E5}"/>
              </c:ext>
            </c:extLst>
          </c:dPt>
          <c:dLbls>
            <c:dLbl>
              <c:idx val="0"/>
              <c:layout>
                <c:manualLayout>
                  <c:x val="3.0402610293722949E-2"/>
                  <c:y val="-9.1224668583650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8A-4753-B87B-5BC41E5D64E5}"/>
                </c:ext>
              </c:extLst>
            </c:dLbl>
            <c:dLbl>
              <c:idx val="1"/>
              <c:layout>
                <c:manualLayout>
                  <c:x val="3.1426680911944505E-2"/>
                  <c:y val="-8.7275323593149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8A-4753-B87B-5BC41E5D64E5}"/>
                </c:ext>
              </c:extLst>
            </c:dLbl>
            <c:dLbl>
              <c:idx val="2"/>
              <c:layout>
                <c:manualLayout>
                  <c:x val="2.6822039932298626E-2"/>
                  <c:y val="-7.4380876832515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8A-4753-B87B-5BC41E5D64E5}"/>
                </c:ext>
              </c:extLst>
            </c:dLbl>
            <c:dLbl>
              <c:idx val="3"/>
              <c:layout>
                <c:manualLayout>
                  <c:x val="3.1598455766279794E-2"/>
                  <c:y val="-8.8722837054937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8A-4753-B87B-5BC41E5D64E5}"/>
                </c:ext>
              </c:extLst>
            </c:dLbl>
            <c:dLbl>
              <c:idx val="4"/>
              <c:layout>
                <c:manualLayout>
                  <c:x val="3.2622526384501506E-2"/>
                  <c:y val="-9.398599494967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B8A-4753-B87B-5BC41E5D64E5}"/>
                </c:ext>
              </c:extLst>
            </c:dLbl>
            <c:dLbl>
              <c:idx val="5"/>
              <c:layout>
                <c:manualLayout>
                  <c:x val="4.8655784091534877E-2"/>
                  <c:y val="-9.7533712105425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8A-4753-B87B-5BC41E5D64E5}"/>
                </c:ext>
              </c:extLst>
            </c:dLbl>
            <c:dLbl>
              <c:idx val="6"/>
              <c:layout>
                <c:manualLayout>
                  <c:x val="5.7184545141275987E-2"/>
                  <c:y val="-0.105566628806073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8A-4753-B87B-5BC41E5D64E5}"/>
                </c:ext>
              </c:extLst>
            </c:dLbl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48</c:v>
                </c:pt>
                <c:pt idx="1">
                  <c:v>58</c:v>
                </c:pt>
                <c:pt idx="2">
                  <c:v>56</c:v>
                </c:pt>
                <c:pt idx="3">
                  <c:v>57</c:v>
                </c:pt>
                <c:pt idx="4">
                  <c:v>57</c:v>
                </c:pt>
                <c:pt idx="5">
                  <c:v>80</c:v>
                </c:pt>
                <c:pt idx="6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B8A-4753-B87B-5BC41E5D64E5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9-3B8A-4753-B87B-5BC41E5D64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6334952"/>
        <c:axId val="206335344"/>
        <c:axId val="0"/>
      </c:bar3DChart>
      <c:catAx>
        <c:axId val="206334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335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335344"/>
        <c:scaling>
          <c:orientation val="minMax"/>
          <c:max val="100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334952"/>
        <c:crosses val="autoZero"/>
        <c:crossBetween val="between"/>
        <c:majorUnit val="10"/>
      </c:valAx>
      <c:spPr>
        <a:noFill/>
        <a:ln w="25342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1176470588235228"/>
          <c:y val="0"/>
        </c:manualLayout>
      </c:layout>
      <c:overlay val="0"/>
      <c:spPr>
        <a:noFill/>
        <a:ln w="252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588235294117674E-2"/>
          <c:y val="3.1746031746031744E-2"/>
          <c:w val="0.46666666666666695"/>
          <c:h val="0.944444444444444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3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251-4579-929A-F1A0BF378A42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3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251-4579-929A-F1A0BF378A42}"/>
              </c:ext>
            </c:extLst>
          </c:dPt>
          <c:dLbls>
            <c:dLbl>
              <c:idx val="0"/>
              <c:layout>
                <c:manualLayout>
                  <c:x val="-0.14153109479428985"/>
                  <c:y val="-0.3012211817534637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251-4579-929A-F1A0BF378A42}"/>
                </c:ext>
              </c:extLst>
            </c:dLbl>
            <c:dLbl>
              <c:idx val="1"/>
              <c:layout>
                <c:manualLayout>
                  <c:x val="0.10588235294117652"/>
                  <c:y val="4.87986870049327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51-4579-929A-F1A0BF378A42}"/>
                </c:ext>
              </c:extLst>
            </c:dLbl>
            <c:dLbl>
              <c:idx val="2"/>
              <c:layout>
                <c:manualLayout>
                  <c:x val="9.1818074561408156E-2"/>
                  <c:y val="0.1031746031746032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251-4579-929A-F1A0BF378A42}"/>
                </c:ext>
              </c:extLst>
            </c:dLbl>
            <c:numFmt formatCode="0%" sourceLinked="0"/>
            <c:spPr>
              <a:noFill/>
              <a:ln w="25263">
                <a:noFill/>
              </a:ln>
            </c:spPr>
            <c:txPr>
              <a:bodyPr/>
              <a:lstStyle/>
              <a:p>
                <a:pPr>
                  <a:defRPr sz="9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320</c:v>
                </c:pt>
                <c:pt idx="1">
                  <c:v>28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251-4579-929A-F1A0BF378A4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63">
          <a:noFill/>
        </a:ln>
      </c:spPr>
    </c:plotArea>
    <c:legend>
      <c:legendPos val="r"/>
      <c:layout>
        <c:manualLayout>
          <c:xMode val="edge"/>
          <c:yMode val="edge"/>
          <c:x val="0.65490196078431373"/>
          <c:y val="0.26190476190476247"/>
          <c:w val="0.32941176470588279"/>
          <c:h val="0.73015873015873056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9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8055555555555569"/>
          <c:y val="0"/>
        </c:manualLayout>
      </c:layout>
      <c:overlay val="0"/>
      <c:spPr>
        <a:noFill/>
        <a:ln w="253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16666666666673"/>
          <c:y val="5.737704918032787E-2"/>
          <c:w val="0.38194444444444475"/>
          <c:h val="0.9016393442622950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561-4602-97CB-C1C51FBBD20E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561-4602-97CB-C1C51FBBD20E}"/>
              </c:ext>
            </c:extLst>
          </c:dPt>
          <c:dLbls>
            <c:dLbl>
              <c:idx val="0"/>
              <c:layout>
                <c:manualLayout>
                  <c:x val="-8.7981123794089525E-2"/>
                  <c:y val="-0.2777834872117888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561-4602-97CB-C1C51FBBD20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61-4602-97CB-C1C51FBBD20E}"/>
                </c:ext>
              </c:extLst>
            </c:dLbl>
            <c:dLbl>
              <c:idx val="2"/>
              <c:layout>
                <c:manualLayout>
                  <c:x val="7.4885625664241673E-2"/>
                  <c:y val="8.196721311475405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61-4602-97CB-C1C51FBBD20E}"/>
                </c:ext>
              </c:extLst>
            </c:dLbl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561-4602-97CB-C1C51FBBD20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7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785714285714282"/>
          <c:y val="0"/>
        </c:manualLayout>
      </c:layout>
      <c:overlay val="0"/>
      <c:spPr>
        <a:noFill/>
        <a:ln w="2537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2857142857142899E-2"/>
          <c:y val="3.7974683544303806E-2"/>
          <c:w val="0.53214285714285714"/>
          <c:h val="0.9430379746835448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A70-4DFA-AD5C-75577B1E727A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A70-4DFA-AD5C-75577B1E727A}"/>
              </c:ext>
            </c:extLst>
          </c:dPt>
          <c:dLbls>
            <c:dLbl>
              <c:idx val="0"/>
              <c:layout>
                <c:manualLayout>
                  <c:x val="-0.18852114645047968"/>
                  <c:y val="-0.3168688896763844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70-4DFA-AD5C-75577B1E727A}"/>
                </c:ext>
              </c:extLst>
            </c:dLbl>
            <c:dLbl>
              <c:idx val="1"/>
              <c:layout>
                <c:manualLayout>
                  <c:x val="0.1"/>
                  <c:y val="3.708476370448706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70-4DFA-AD5C-75577B1E727A}"/>
                </c:ext>
              </c:extLst>
            </c:dLbl>
            <c:dLbl>
              <c:idx val="2"/>
              <c:layout>
                <c:manualLayout>
                  <c:x val="0.10175516250917432"/>
                  <c:y val="0.1265822784810126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70-4DFA-AD5C-75577B1E727A}"/>
                </c:ext>
              </c:extLst>
            </c:dLbl>
            <c:numFmt formatCode="0%" sourceLinked="0"/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342</c:v>
                </c:pt>
                <c:pt idx="1">
                  <c:v>40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A70-4DFA-AD5C-75577B1E72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70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3212121212121215"/>
          <c:y val="2.2471910112359609E-2"/>
        </c:manualLayout>
      </c:layout>
      <c:overlay val="0"/>
      <c:spPr>
        <a:noFill/>
        <a:ln w="25372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6666666666668E-2"/>
          <c:y val="0.30898876404494452"/>
          <c:w val="0.51818181818181863"/>
          <c:h val="0.382022471910112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69C-43A9-861B-6579EA91541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8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69C-43A9-861B-6579EA915417}"/>
              </c:ext>
            </c:extLst>
          </c:dPt>
          <c:dLbls>
            <c:numFmt formatCode="0%" sourceLinked="0"/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160</c:v>
                </c:pt>
                <c:pt idx="1">
                  <c:v>191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9C-43A9-861B-6579EA915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757575757575815"/>
          <c:y val="0.32584269662921395"/>
          <c:w val="0.3121212121212123"/>
          <c:h val="0.61797752808988804"/>
        </c:manualLayout>
      </c:layout>
      <c:overlay val="0"/>
      <c:spPr>
        <a:noFill/>
        <a:ln w="25372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41258741258741283"/>
          <c:y val="1.7241379310344827E-2"/>
        </c:manualLayout>
      </c:layout>
      <c:overlay val="0"/>
      <c:spPr>
        <a:noFill/>
        <a:ln w="25353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475524475524504E-2"/>
          <c:y val="0.31034482758620713"/>
          <c:w val="0.57692307692307776"/>
          <c:h val="0.373563218390804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A17-4F48-93B0-9F65F3064C9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A17-4F48-93B0-9F65F3064C9C}"/>
              </c:ext>
            </c:extLst>
          </c:dPt>
          <c:dLbls>
            <c:dLbl>
              <c:idx val="0"/>
              <c:layout>
                <c:manualLayout>
                  <c:x val="1.7515377688097637E-3"/>
                  <c:y val="7.968618260285647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A17-4F48-93B0-9F65F3064C9C}"/>
                </c:ext>
              </c:extLst>
            </c:dLbl>
            <c:dLbl>
              <c:idx val="1"/>
              <c:layout>
                <c:manualLayout>
                  <c:x val="4.8951048951048973E-2"/>
                  <c:y val="-0.117980002953351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17-4F48-93B0-9F65F3064C9C}"/>
                </c:ext>
              </c:extLst>
            </c:dLbl>
            <c:dLbl>
              <c:idx val="2"/>
              <c:layout>
                <c:manualLayout>
                  <c:x val="-5.0178066789699868E-2"/>
                  <c:y val="-0.1022645535914181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17-4F48-93B0-9F65F3064C9C}"/>
                </c:ext>
              </c:extLst>
            </c:dLbl>
            <c:numFmt formatCode="0%" sourceLinked="0"/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185</c:v>
                </c:pt>
                <c:pt idx="1">
                  <c:v>206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A17-4F48-93B0-9F65F3064C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60489510489510534"/>
          <c:y val="0.29885057471264426"/>
          <c:w val="0.38811188811188846"/>
          <c:h val="0.63218390804597702"/>
        </c:manualLayout>
      </c:layout>
      <c:overlay val="0"/>
      <c:spPr>
        <a:noFill/>
        <a:ln w="25353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
</a:t>
            </a:r>
          </a:p>
        </c:rich>
      </c:tx>
      <c:layout>
        <c:manualLayout>
          <c:xMode val="edge"/>
          <c:yMode val="edge"/>
          <c:x val="0.40136054421768741"/>
          <c:y val="1.7341040462427744E-2"/>
        </c:manualLayout>
      </c:layout>
      <c:overlay val="0"/>
      <c:spPr>
        <a:noFill/>
        <a:ln w="25374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823129251700731E-2"/>
          <c:y val="0.32369942196531792"/>
          <c:w val="0.52721088435374153"/>
          <c:h val="0.358381502890173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7DD-41DF-84A7-84799726B8B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7DD-41DF-84A7-84799726B8B9}"/>
              </c:ext>
            </c:extLst>
          </c:dPt>
          <c:dLbls>
            <c:dLbl>
              <c:idx val="0"/>
              <c:layout>
                <c:manualLayout>
                  <c:x val="5.4421768707482956E-2"/>
                  <c:y val="0.1084945439484400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DD-41DF-84A7-84799726B8B9}"/>
                </c:ext>
              </c:extLst>
            </c:dLbl>
            <c:dLbl>
              <c:idx val="1"/>
              <c:layout>
                <c:manualLayout>
                  <c:x val="-3.4571642313281241E-2"/>
                  <c:y val="-0.1064803213014596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DD-41DF-84A7-84799726B8B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DD-41DF-84A7-84799726B8B9}"/>
                </c:ext>
              </c:extLst>
            </c:dLbl>
            <c:numFmt formatCode="0%" sourceLinked="0"/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загородная зона</c:v>
                </c:pt>
                <c:pt idx="1">
                  <c:v>ПЧ в городе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7DD-41DF-84A7-84799726B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65646258503401356"/>
          <c:y val="0.30635838150289069"/>
          <c:w val="0.34353741496598639"/>
          <c:h val="0.36994219653179189"/>
        </c:manualLayout>
      </c:layout>
      <c:overlay val="0"/>
      <c:spPr>
        <a:noFill/>
        <a:ln w="25374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358361774744018E-2"/>
          <c:y val="5.3571428571428555E-2"/>
          <c:w val="0.96757679180887368"/>
          <c:h val="0.5892857142857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035613722346207E-2"/>
                  <c:y val="1.9076035771119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DF-48A2-BA91-3C4453F5CAC0}"/>
                </c:ext>
              </c:extLst>
            </c:dLbl>
            <c:dLbl>
              <c:idx val="1"/>
              <c:layout>
                <c:manualLayout>
                  <c:x val="4.9471535423920394E-3"/>
                  <c:y val="-1.3374533891924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DF-48A2-BA91-3C4453F5CAC0}"/>
                </c:ext>
              </c:extLst>
            </c:dLbl>
            <c:dLbl>
              <c:idx val="2"/>
              <c:layout>
                <c:manualLayout>
                  <c:x val="8.4557865977696843E-3"/>
                  <c:y val="-8.36942626266200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DF-48A2-BA91-3C4453F5CAC0}"/>
                </c:ext>
              </c:extLst>
            </c:dLbl>
            <c:dLbl>
              <c:idx val="3"/>
              <c:layout>
                <c:manualLayout>
                  <c:x val="5.1386574758361218E-3"/>
                  <c:y val="-1.0161672704297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DF-48A2-BA91-3C4453F5CAC0}"/>
                </c:ext>
              </c:extLst>
            </c:dLbl>
            <c:dLbl>
              <c:idx val="4"/>
              <c:layout>
                <c:manualLayout>
                  <c:x val="1.049464275170494E-2"/>
                  <c:y val="-2.7072132715693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DF-48A2-BA91-3C4453F5CAC0}"/>
                </c:ext>
              </c:extLst>
            </c:dLbl>
            <c:dLbl>
              <c:idx val="5"/>
              <c:layout>
                <c:manualLayout>
                  <c:x val="7.036646050918284E-3"/>
                  <c:y val="-8.31857139904762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DF-48A2-BA91-3C4453F5CAC0}"/>
                </c:ext>
              </c:extLst>
            </c:dLbl>
            <c:dLbl>
              <c:idx val="6"/>
              <c:layout>
                <c:manualLayout>
                  <c:x val="-1.2592458063182812E-3"/>
                  <c:y val="-4.15843688830239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DF-48A2-BA91-3C4453F5CAC0}"/>
                </c:ext>
              </c:extLst>
            </c:dLbl>
            <c:dLbl>
              <c:idx val="7"/>
              <c:layout>
                <c:manualLayout>
                  <c:x val="9.0753258156117973E-3"/>
                  <c:y val="-1.195391914593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DF-48A2-BA91-3C4453F5CAC0}"/>
                </c:ext>
              </c:extLst>
            </c:dLbl>
            <c:dLbl>
              <c:idx val="8"/>
              <c:layout>
                <c:manualLayout>
                  <c:x val="9.3175016222993064E-3"/>
                  <c:y val="3.330533548603921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DF-48A2-BA91-3C4453F5CAC0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9112627986348123"/>
                  <c:y val="0.6428571428571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DF-48A2-BA91-3C4453F5CAC0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91296928327645055"/>
                  <c:y val="0.64880952380952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2DF-48A2-BA91-3C4453F5CAC0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91296928327645055"/>
                  <c:y val="0.66666666666666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2DF-48A2-BA91-3C4453F5CAC0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91467576791808913"/>
                  <c:y val="0.66666666666666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2DF-48A2-BA91-3C4453F5CAC0}"/>
                </c:ext>
              </c:extLst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31</c:v>
                </c:pt>
                <c:pt idx="1">
                  <c:v>16</c:v>
                </c:pt>
                <c:pt idx="2">
                  <c:v>24</c:v>
                </c:pt>
                <c:pt idx="3">
                  <c:v>14</c:v>
                </c:pt>
                <c:pt idx="4">
                  <c:v>6</c:v>
                </c:pt>
                <c:pt idx="5">
                  <c:v>11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2DF-48A2-BA91-3C4453F5CAC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00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983523197990638E-2"/>
                  <c:y val="-1.4795148637916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2DF-48A2-BA91-3C4453F5CAC0}"/>
                </c:ext>
              </c:extLst>
            </c:dLbl>
            <c:dLbl>
              <c:idx val="1"/>
              <c:layout>
                <c:manualLayout>
                  <c:x val="1.4482093734760141E-2"/>
                  <c:y val="-1.3374533891924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2DF-48A2-BA91-3C4453F5CAC0}"/>
                </c:ext>
              </c:extLst>
            </c:dLbl>
            <c:dLbl>
              <c:idx val="2"/>
              <c:layout>
                <c:manualLayout>
                  <c:x val="2.1403696073414219E-2"/>
                  <c:y val="-4.866633304695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2DF-48A2-BA91-3C4453F5CAC0}"/>
                </c:ext>
              </c:extLst>
            </c:dLbl>
            <c:dLbl>
              <c:idx val="3"/>
              <c:layout>
                <c:manualLayout>
                  <c:x val="1.467359766820416E-2"/>
                  <c:y val="-3.31287329241311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2DF-48A2-BA91-3C4453F5CAC0}"/>
                </c:ext>
              </c:extLst>
            </c:dLbl>
            <c:dLbl>
              <c:idx val="4"/>
              <c:layout>
                <c:manualLayout>
                  <c:x val="1.3203467988278549E-2"/>
                  <c:y val="-3.1654753785697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2DF-48A2-BA91-3C4453F5CAC0}"/>
                </c:ext>
              </c:extLst>
            </c:dLbl>
            <c:dLbl>
              <c:idx val="5"/>
              <c:layout>
                <c:manualLayout>
                  <c:x val="2.6951185282727021E-2"/>
                  <c:y val="-1.242785104617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2DF-48A2-BA91-3C4453F5CAC0}"/>
                </c:ext>
              </c:extLst>
            </c:dLbl>
            <c:dLbl>
              <c:idx val="6"/>
              <c:layout>
                <c:manualLayout>
                  <c:x val="9.9821790276875214E-3"/>
                  <c:y val="-1.9276059980691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2DF-48A2-BA91-3C4453F5CAC0}"/>
                </c:ext>
              </c:extLst>
            </c:dLbl>
            <c:dLbl>
              <c:idx val="7"/>
              <c:layout>
                <c:manualLayout>
                  <c:x val="1.0077842799788746E-2"/>
                  <c:y val="-1.0110817840683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2DF-48A2-BA91-3C4453F5CAC0}"/>
                </c:ext>
              </c:extLst>
            </c:dLbl>
            <c:dLbl>
              <c:idx val="8"/>
              <c:layout>
                <c:manualLayout>
                  <c:x val="0.1741423678145044"/>
                  <c:y val="3.330533548603921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2DF-48A2-BA91-3C4453F5CAC0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94368600682593851"/>
                  <c:y val="0.625000000000000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2DF-48A2-BA91-3C4453F5CAC0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93515358361774747"/>
                  <c:y val="0.63690476190476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2DF-48A2-BA91-3C4453F5CAC0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94197952218430103"/>
                  <c:y val="0.6428571428571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2DF-48A2-BA91-3C4453F5CAC0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94368600682593851"/>
                  <c:y val="0.630952380952380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2DF-48A2-BA91-3C4453F5CAC0}"/>
                </c:ext>
              </c:extLst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28</c:v>
                </c:pt>
                <c:pt idx="1">
                  <c:v>16</c:v>
                </c:pt>
                <c:pt idx="2">
                  <c:v>25</c:v>
                </c:pt>
                <c:pt idx="3">
                  <c:v>19</c:v>
                </c:pt>
                <c:pt idx="4">
                  <c:v>7</c:v>
                </c:pt>
                <c:pt idx="5">
                  <c:v>8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82DF-48A2-BA91-3C4453F5CA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6338088"/>
        <c:axId val="206338480"/>
        <c:axId val="0"/>
      </c:bar3DChart>
      <c:catAx>
        <c:axId val="206338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338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338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06338088"/>
        <c:crosses val="autoZero"/>
        <c:crossBetween val="between"/>
      </c:valAx>
      <c:spPr>
        <a:noFill/>
        <a:ln w="25366">
          <a:noFill/>
        </a:ln>
      </c:spPr>
    </c:plotArea>
    <c:legend>
      <c:legendPos val="b"/>
      <c:layout>
        <c:manualLayout>
          <c:xMode val="edge"/>
          <c:yMode val="edge"/>
          <c:x val="0.39078498293515407"/>
          <c:y val="0.85119047619047727"/>
          <c:w val="0.21672354948805461"/>
          <c:h val="0.13095238095238107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17647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539579967689823E-2"/>
          <c:y val="4.9450549450549483E-2"/>
          <c:w val="0.96930533117932161"/>
          <c:h val="0.620879120879121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908087726264224E-2"/>
                  <c:y val="-3.45984638883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28-4AB8-A662-118D4A4B486D}"/>
                </c:ext>
              </c:extLst>
            </c:dLbl>
            <c:dLbl>
              <c:idx val="1"/>
              <c:layout>
                <c:manualLayout>
                  <c:x val="1.4249083361713143E-2"/>
                  <c:y val="-3.073437223046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28-4AB8-A662-118D4A4B486D}"/>
                </c:ext>
              </c:extLst>
            </c:dLbl>
            <c:dLbl>
              <c:idx val="2"/>
              <c:layout>
                <c:manualLayout>
                  <c:x val="8.9810063604767038E-3"/>
                  <c:y val="-3.1893936240986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28-4AB8-A662-118D4A4B486D}"/>
                </c:ext>
              </c:extLst>
            </c:dLbl>
            <c:dLbl>
              <c:idx val="3"/>
              <c:layout>
                <c:manualLayout>
                  <c:x val="1.8252509326929761E-2"/>
                  <c:y val="-3.221203021592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28-4AB8-A662-118D4A4B486D}"/>
                </c:ext>
              </c:extLst>
            </c:dLbl>
            <c:dLbl>
              <c:idx val="4"/>
              <c:layout>
                <c:manualLayout>
                  <c:x val="1.459977396341868E-2"/>
                  <c:y val="-3.1218353615218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28-4AB8-A662-118D4A4B486D}"/>
                </c:ext>
              </c:extLst>
            </c:dLbl>
            <c:dLbl>
              <c:idx val="5"/>
              <c:layout>
                <c:manualLayout>
                  <c:x val="1.7556445731740155E-2"/>
                  <c:y val="-6.7279545169409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28-4AB8-A662-118D4A4B486D}"/>
                </c:ext>
              </c:extLst>
            </c:dLbl>
            <c:dLbl>
              <c:idx val="6"/>
              <c:layout>
                <c:manualLayout>
                  <c:x val="-0.79208283437807359"/>
                  <c:y val="-4.8789097761847854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28-4AB8-A662-118D4A4B486D}"/>
                </c:ext>
              </c:extLst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162</c:v>
                </c:pt>
                <c:pt idx="1">
                  <c:v>76</c:v>
                </c:pt>
                <c:pt idx="2">
                  <c:v>62</c:v>
                </c:pt>
                <c:pt idx="3">
                  <c:v>25</c:v>
                </c:pt>
                <c:pt idx="4">
                  <c:v>37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528-4AB8-A662-118D4A4B486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711413388328792E-2"/>
                  <c:y val="-3.860163055266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528-4AB8-A662-118D4A4B486D}"/>
                </c:ext>
              </c:extLst>
            </c:dLbl>
            <c:dLbl>
              <c:idx val="1"/>
              <c:layout>
                <c:manualLayout>
                  <c:x val="2.7283426794375582E-2"/>
                  <c:y val="-1.557630716728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528-4AB8-A662-118D4A4B486D}"/>
                </c:ext>
              </c:extLst>
            </c:dLbl>
            <c:dLbl>
              <c:idx val="2"/>
              <c:layout>
                <c:manualLayout>
                  <c:x val="1.7168823137242221E-2"/>
                  <c:y val="-2.090492525197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528-4AB8-A662-118D4A4B486D}"/>
                </c:ext>
              </c:extLst>
            </c:dLbl>
            <c:dLbl>
              <c:idx val="3"/>
              <c:layout>
                <c:manualLayout>
                  <c:x val="1.5131763906603131E-2"/>
                  <c:y val="-1.9095809342685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528-4AB8-A662-118D4A4B486D}"/>
                </c:ext>
              </c:extLst>
            </c:dLbl>
            <c:dLbl>
              <c:idx val="4"/>
              <c:layout>
                <c:manualLayout>
                  <c:x val="2.1172249102458716E-2"/>
                  <c:y val="-3.1880804682355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528-4AB8-A662-118D4A4B486D}"/>
                </c:ext>
              </c:extLst>
            </c:dLbl>
            <c:dLbl>
              <c:idx val="5"/>
              <c:layout>
                <c:manualLayout>
                  <c:x val="1.1204682540815721E-2"/>
                  <c:y val="-3.3703369046082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528-4AB8-A662-118D4A4B486D}"/>
                </c:ext>
              </c:extLst>
            </c:dLbl>
            <c:dLbl>
              <c:idx val="6"/>
              <c:layout>
                <c:manualLayout>
                  <c:x val="0.17087073361032409"/>
                  <c:y val="-4.8789097761847854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528-4AB8-A662-118D4A4B486D}"/>
                </c:ext>
              </c:extLst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180</c:v>
                </c:pt>
                <c:pt idx="1">
                  <c:v>60</c:v>
                </c:pt>
                <c:pt idx="2">
                  <c:v>62</c:v>
                </c:pt>
                <c:pt idx="3">
                  <c:v>26</c:v>
                </c:pt>
                <c:pt idx="4">
                  <c:v>29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C528-4AB8-A662-118D4A4B48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6339264"/>
        <c:axId val="208472056"/>
        <c:axId val="0"/>
      </c:bar3DChart>
      <c:catAx>
        <c:axId val="20633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8472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8472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06339264"/>
        <c:crosses val="autoZero"/>
        <c:crossBetween val="between"/>
      </c:valAx>
      <c:spPr>
        <a:noFill/>
        <a:ln w="25285">
          <a:noFill/>
        </a:ln>
      </c:spPr>
    </c:plotArea>
    <c:legend>
      <c:legendPos val="b"/>
      <c:layout>
        <c:manualLayout>
          <c:xMode val="edge"/>
          <c:yMode val="edge"/>
          <c:x val="0.39741518578352203"/>
          <c:y val="0.86263736263736268"/>
          <c:w val="0.20516962843295639"/>
          <c:h val="0.12087912087912089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1961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675675675675665E-2"/>
          <c:y val="2.702702702702706E-2"/>
          <c:w val="0.46959459459459457"/>
          <c:h val="0.9391891891891891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00"/>
              </a:solidFill>
              <a:ln w="1268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46A-4610-82EE-B2CC4AA91490}"/>
              </c:ext>
            </c:extLst>
          </c:dPt>
          <c:dLbls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4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перевозились без нарушений ПДД</c:v>
                </c:pt>
                <c:pt idx="1">
                  <c:v>перевозились с нарушениями ПДД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6A-4610-82EE-B2CC4AA9149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58445945945945943"/>
          <c:y val="0.31756756756756793"/>
          <c:w val="0.36148648648648674"/>
          <c:h val="0.67567567567567699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89208633093531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7985611510791366E-2"/>
          <c:y val="2.6490066225165594E-2"/>
          <c:w val="0.51079136690647531"/>
          <c:h val="0.940397350993377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20D-439B-8F83-5CDA93EEEF84}"/>
              </c:ext>
            </c:extLst>
          </c:dPt>
          <c:dPt>
            <c:idx val="2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20D-439B-8F83-5CDA93EEEF84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 заднем сидении авто</c:v>
                </c:pt>
                <c:pt idx="1">
                  <c:v>на переднем сидении авто</c:v>
                </c:pt>
                <c:pt idx="2">
                  <c:v>пассажир мото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0D-439B-8F83-5CDA93EEEF8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611510791366906"/>
          <c:y val="0.32450331125827847"/>
          <c:w val="0.38489208633093552"/>
          <c:h val="0.5960264900662247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445182724252441E-2"/>
          <c:y val="3.4965034965034968E-2"/>
          <c:w val="0.44186046511627941"/>
          <c:h val="0.9300699300699301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C09-40A1-9375-A3936583BFBF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C09-40A1-9375-A3936583BFBF}"/>
              </c:ext>
            </c:extLst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перевозились без нарушений ПДД</c:v>
                </c:pt>
                <c:pt idx="1">
                  <c:v>перевозились с нарушениями ПДД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09-40A1-9375-A3936583BF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58803986710963452"/>
          <c:y val="0.30769230769230782"/>
          <c:w val="0.35548172757475127"/>
          <c:h val="0.68531468531468531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892086330935312"/>
          <c:y val="0"/>
        </c:manualLayout>
      </c:layout>
      <c:overlay val="0"/>
      <c:spPr>
        <a:noFill/>
        <a:ln w="252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7985611510791366E-2"/>
          <c:y val="2.6490066225165594E-2"/>
          <c:w val="0.51079136690647531"/>
          <c:h val="0.940397350993377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4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0D4-4835-A2DE-150BD1C4544C}"/>
              </c:ext>
            </c:extLst>
          </c:dPt>
          <c:dPt>
            <c:idx val="2"/>
            <c:bubble3D val="0"/>
            <c:spPr>
              <a:solidFill>
                <a:srgbClr val="FF8080"/>
              </a:solidFill>
              <a:ln w="126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0D4-4835-A2DE-150BD1C4544C}"/>
              </c:ext>
            </c:extLst>
          </c:dPt>
          <c:dLbls>
            <c:dLbl>
              <c:idx val="1"/>
              <c:layout>
                <c:manualLayout>
                  <c:x val="3.9568345323741011E-2"/>
                  <c:y val="0.1107278443039216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D4-4835-A2DE-150BD1C4544C}"/>
                </c:ext>
              </c:extLst>
            </c:dLbl>
            <c:dLbl>
              <c:idx val="2"/>
              <c:layout>
                <c:manualLayout>
                  <c:x val="0.10442595792132704"/>
                  <c:y val="4.63576158940397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D4-4835-A2DE-150BD1C4544C}"/>
                </c:ext>
              </c:extLst>
            </c:dLbl>
            <c:numFmt formatCode="0%" sourceLinked="0"/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144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 заднем сидении авто</c:v>
                </c:pt>
                <c:pt idx="1">
                  <c:v>на переднем сидении авто</c:v>
                </c:pt>
                <c:pt idx="2">
                  <c:v>пассажир мото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D4-4835-A2DE-150BD1C4544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5">
          <a:noFill/>
        </a:ln>
      </c:spPr>
    </c:plotArea>
    <c:legend>
      <c:legendPos val="r"/>
      <c:layout>
        <c:manualLayout>
          <c:xMode val="edge"/>
          <c:yMode val="edge"/>
          <c:x val="0.5611510791366906"/>
          <c:y val="0.32450331125827847"/>
          <c:w val="0.38489208633093552"/>
          <c:h val="0.59602649006622477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89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314685314685368"/>
          <c:y val="7.5757575757575812E-3"/>
        </c:manualLayout>
      </c:layout>
      <c:overlay val="0"/>
      <c:spPr>
        <a:noFill/>
        <a:ln w="252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405594405594428E-2"/>
          <c:y val="3.7878787878787908E-2"/>
          <c:w val="0.43356643356643376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3A6-46A3-861D-521877C42EF5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3A6-46A3-861D-521877C42EF5}"/>
              </c:ext>
            </c:extLst>
          </c:dPt>
          <c:dLbls>
            <c:dLbl>
              <c:idx val="2"/>
              <c:layout>
                <c:manualLayout>
                  <c:x val="0.11820387808607793"/>
                  <c:y val="0.1136363636363635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A6-46A3-861D-521877C42EF5}"/>
                </c:ext>
              </c:extLst>
            </c:dLbl>
            <c:numFmt formatCode="0%" sourceLinked="0"/>
            <c:spPr>
              <a:noFill/>
              <a:ln w="25231">
                <a:noFill/>
              </a:ln>
            </c:spPr>
            <c:txPr>
              <a:bodyPr/>
              <a:lstStyle/>
              <a:p>
                <a:pPr>
                  <a:defRPr sz="151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198</c:v>
                </c:pt>
                <c:pt idx="1">
                  <c:v>146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A6-46A3-861D-521877C42E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31">
          <a:noFill/>
        </a:ln>
      </c:spPr>
    </c:plotArea>
    <c:legend>
      <c:legendPos val="r"/>
      <c:layout>
        <c:manualLayout>
          <c:xMode val="edge"/>
          <c:yMode val="edge"/>
          <c:x val="0.53146853146853168"/>
          <c:y val="0.1742424242424245"/>
          <c:w val="0.36713286713286764"/>
          <c:h val="0.78787878787878785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107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7829457364341195"/>
          <c:y val="0"/>
        </c:manualLayout>
      </c:layout>
      <c:overlay val="0"/>
      <c:spPr>
        <a:noFill/>
        <a:ln w="2532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364341085271324E-2"/>
          <c:y val="3.875968992248062E-2"/>
          <c:w val="0.4689922480620155"/>
          <c:h val="0.937984496124031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C89-44AA-BEDD-8A84E0B1FECB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6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C89-44AA-BEDD-8A84E0B1FECB}"/>
              </c:ext>
            </c:extLst>
          </c:dPt>
          <c:dLbls>
            <c:dLbl>
              <c:idx val="1"/>
              <c:layout>
                <c:manualLayout>
                  <c:x val="0.10465116279069768"/>
                  <c:y val="-0.166440276713120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89-44AA-BEDD-8A84E0B1FECB}"/>
                </c:ext>
              </c:extLst>
            </c:dLbl>
            <c:dLbl>
              <c:idx val="2"/>
              <c:layout>
                <c:manualLayout>
                  <c:x val="0.12650446453325834"/>
                  <c:y val="3.100775193798448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89-44AA-BEDD-8A84E0B1FECB}"/>
                </c:ext>
              </c:extLst>
            </c:dLbl>
            <c:numFmt formatCode="0%" sourceLinked="0"/>
            <c:spPr>
              <a:noFill/>
              <a:ln w="25326">
                <a:noFill/>
              </a:ln>
            </c:spPr>
            <c:txPr>
              <a:bodyPr/>
              <a:lstStyle/>
              <a:p>
                <a:pPr>
                  <a:defRPr sz="149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240</c:v>
                </c:pt>
                <c:pt idx="1">
                  <c:v>149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89-44AA-BEDD-8A84E0B1FE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6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74509803921628"/>
          <c:y val="6.8027210884353791E-3"/>
        </c:manualLayout>
      </c:layout>
      <c:overlay val="0"/>
      <c:spPr>
        <a:noFill/>
        <a:ln w="2536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9215686274509812E-3"/>
          <c:y val="7.4829931972789129E-2"/>
          <c:w val="0.48235294117647093"/>
          <c:h val="0.8367346938775515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548-4D11-97B0-8B275CDC1F4D}"/>
              </c:ext>
            </c:extLst>
          </c:dPt>
          <c:dLbls>
            <c:dLbl>
              <c:idx val="0"/>
              <c:layout>
                <c:manualLayout>
                  <c:x val="-0.13570770973889695"/>
                  <c:y val="0.1969879007871924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48-4D11-97B0-8B275CDC1F4D}"/>
                </c:ext>
              </c:extLst>
            </c:dLbl>
            <c:dLbl>
              <c:idx val="1"/>
              <c:layout>
                <c:manualLayout>
                  <c:x val="0.11764705882352948"/>
                  <c:y val="-0.2921820747646260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48-4D11-97B0-8B275CDC1F4D}"/>
                </c:ext>
              </c:extLst>
            </c:dLbl>
            <c:numFmt formatCode="0%" sourceLinked="0"/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29</c:v>
                </c:pt>
                <c:pt idx="1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48-4D11-97B0-8B275CDC1F4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52156862745098043"/>
          <c:y val="0.31972789115646305"/>
          <c:w val="0.4588235294117648"/>
          <c:h val="0.6530612244897967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0.47875</cdr:x>
      <cdr:y>0.493</cdr:y>
    </cdr:from>
    <cdr:to>
      <cdr:x>0.5015</cdr:x>
      <cdr:y>0.6145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03865" y="694982"/>
          <a:ext cx="57207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0.507</cdr:x>
      <cdr:y>0.517</cdr:y>
    </cdr:from>
    <cdr:to>
      <cdr:x>0.51375</cdr:x>
      <cdr:y>0.625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9897" y="866699"/>
          <a:ext cx="37676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0.50225</cdr:x>
      <cdr:y>0.4945</cdr:y>
    </cdr:from>
    <cdr:to>
      <cdr:x>0.5125</cdr:x>
      <cdr:y>0.6025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03384" y="828980"/>
          <a:ext cx="57212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Екатерина</cp:lastModifiedBy>
  <cp:revision>2</cp:revision>
  <cp:lastPrinted>2018-10-31T09:23:00Z</cp:lastPrinted>
  <dcterms:created xsi:type="dcterms:W3CDTF">2018-11-02T09:11:00Z</dcterms:created>
  <dcterms:modified xsi:type="dcterms:W3CDTF">2018-11-02T09:11:00Z</dcterms:modified>
</cp:coreProperties>
</file>